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813B8D">
        <w:rPr>
          <w:rFonts w:ascii="Arial" w:hAnsi="Arial" w:cs="Arial"/>
          <w:b/>
          <w:bCs/>
          <w:sz w:val="20"/>
          <w:szCs w:val="20"/>
        </w:rPr>
        <w:t>31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5079DA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D65AF4" w:rsidRPr="00D65AF4">
        <w:rPr>
          <w:rFonts w:ascii="Arial" w:hAnsi="Arial" w:cs="Arial"/>
          <w:b/>
          <w:bCs/>
          <w:sz w:val="20"/>
          <w:szCs w:val="20"/>
        </w:rPr>
        <w:t>14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A43098">
        <w:rPr>
          <w:rFonts w:ascii="Arial" w:hAnsi="Arial" w:cs="Arial"/>
          <w:b/>
          <w:bCs/>
          <w:sz w:val="20"/>
          <w:szCs w:val="20"/>
        </w:rPr>
        <w:t>февраля</w:t>
      </w:r>
      <w:r w:rsidR="005079DA">
        <w:rPr>
          <w:rFonts w:ascii="Arial" w:hAnsi="Arial" w:cs="Arial"/>
          <w:b/>
          <w:bCs/>
          <w:sz w:val="20"/>
          <w:szCs w:val="20"/>
        </w:rPr>
        <w:t>» 2023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47C5F">
        <w:rPr>
          <w:rFonts w:ascii="Arial" w:hAnsi="Arial" w:cs="Arial"/>
          <w:sz w:val="20"/>
          <w:szCs w:val="20"/>
        </w:rPr>
        <w:t>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bookmarkEnd w:id="10"/>
      <w:bookmarkEnd w:id="11"/>
      <w:bookmarkEnd w:id="12"/>
      <w:r w:rsidR="00A43098">
        <w:rPr>
          <w:rFonts w:ascii="Arial" w:hAnsi="Arial" w:cs="Arial"/>
          <w:sz w:val="20"/>
          <w:szCs w:val="20"/>
        </w:rPr>
        <w:t xml:space="preserve">оказание </w:t>
      </w:r>
      <w:r w:rsidR="00D65AF4" w:rsidRPr="00D65AF4">
        <w:rPr>
          <w:rFonts w:ascii="Arial" w:hAnsi="Arial" w:cs="Arial"/>
          <w:sz w:val="20"/>
          <w:szCs w:val="20"/>
        </w:rPr>
        <w:t>услуг</w:t>
      </w:r>
      <w:r w:rsidR="00E07D29">
        <w:rPr>
          <w:rFonts w:ascii="Arial" w:hAnsi="Arial" w:cs="Arial"/>
          <w:sz w:val="20"/>
          <w:szCs w:val="20"/>
        </w:rPr>
        <w:t>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 xml:space="preserve">Предмет Запроса цен: </w:t>
      </w:r>
      <w:r w:rsidR="00E07D29" w:rsidRPr="00E07D29">
        <w:rPr>
          <w:rFonts w:ascii="Arial" w:hAnsi="Arial" w:cs="Arial"/>
          <w:sz w:val="20"/>
          <w:szCs w:val="20"/>
        </w:rPr>
        <w:t>услуги, по предоставлению (выдаче) направления тра</w:t>
      </w:r>
      <w:proofErr w:type="gramStart"/>
      <w:r w:rsidR="00E07D29" w:rsidRPr="00E07D29">
        <w:rPr>
          <w:rFonts w:ascii="Arial" w:hAnsi="Arial" w:cs="Arial"/>
          <w:sz w:val="20"/>
          <w:szCs w:val="20"/>
        </w:rPr>
        <w:t>сс стр</w:t>
      </w:r>
      <w:proofErr w:type="gramEnd"/>
      <w:r w:rsidR="00E07D29" w:rsidRPr="00E07D29">
        <w:rPr>
          <w:rFonts w:ascii="Arial" w:hAnsi="Arial" w:cs="Arial"/>
          <w:sz w:val="20"/>
          <w:szCs w:val="20"/>
        </w:rPr>
        <w:t>оительства электрических сетей, съемок текущих изменений с картографическим вычерчиванием топографических планов и карт г</w:t>
      </w:r>
      <w:proofErr w:type="gramStart"/>
      <w:r w:rsidR="00E07D29" w:rsidRPr="00E07D29">
        <w:rPr>
          <w:rFonts w:ascii="Arial" w:hAnsi="Arial" w:cs="Arial"/>
          <w:sz w:val="20"/>
          <w:szCs w:val="20"/>
        </w:rPr>
        <w:t>.П</w:t>
      </w:r>
      <w:proofErr w:type="gramEnd"/>
      <w:r w:rsidR="00E07D29" w:rsidRPr="00E07D29">
        <w:rPr>
          <w:rFonts w:ascii="Arial" w:hAnsi="Arial" w:cs="Arial"/>
          <w:sz w:val="20"/>
          <w:szCs w:val="20"/>
        </w:rPr>
        <w:t>ензы, выдаче схем границ, предполагаемых к использованию земельных (или их части) участков.</w:t>
      </w:r>
    </w:p>
    <w:tbl>
      <w:tblPr>
        <w:tblW w:w="10061" w:type="dxa"/>
        <w:tblLook w:val="04A0"/>
      </w:tblPr>
      <w:tblGrid>
        <w:gridCol w:w="486"/>
        <w:gridCol w:w="6743"/>
        <w:gridCol w:w="1413"/>
        <w:gridCol w:w="1419"/>
      </w:tblGrid>
      <w:tr w:rsidR="00E07D29" w:rsidRPr="00E07D29" w:rsidTr="006F12ED">
        <w:trPr>
          <w:trHeight w:val="6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07D2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07D2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 xml:space="preserve">Начальная максимальная цена за ед. </w:t>
            </w:r>
            <w:r w:rsidRPr="00E07D29">
              <w:rPr>
                <w:color w:val="000000"/>
                <w:sz w:val="20"/>
                <w:szCs w:val="20"/>
              </w:rPr>
              <w:br/>
              <w:t>руб. без НДС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E07D29">
            <w:pPr>
              <w:rPr>
                <w:sz w:val="20"/>
                <w:szCs w:val="20"/>
              </w:rPr>
            </w:pPr>
            <w:r w:rsidRPr="00E07D29">
              <w:rPr>
                <w:sz w:val="20"/>
                <w:szCs w:val="20"/>
              </w:rPr>
              <w:t>Съемка текущих изменений за 1 Га (гектар)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13 662,00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E07D29">
            <w:pPr>
              <w:rPr>
                <w:sz w:val="20"/>
                <w:szCs w:val="20"/>
              </w:rPr>
            </w:pPr>
            <w:r w:rsidRPr="00E07D29">
              <w:rPr>
                <w:sz w:val="20"/>
                <w:szCs w:val="20"/>
              </w:rPr>
              <w:t>Выдача направления трассы за 100м.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sz w:val="20"/>
                <w:szCs w:val="20"/>
              </w:rPr>
              <w:t>4 075,00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E07D29">
            <w:pPr>
              <w:rPr>
                <w:sz w:val="20"/>
                <w:szCs w:val="20"/>
              </w:rPr>
            </w:pPr>
            <w:r w:rsidRPr="00E07D29">
              <w:rPr>
                <w:sz w:val="20"/>
                <w:szCs w:val="20"/>
              </w:rPr>
              <w:t xml:space="preserve">Нанесение на плановую основу границ землепользований за 0,1км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1 456,00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6F12ED">
            <w:pPr>
              <w:rPr>
                <w:sz w:val="20"/>
                <w:szCs w:val="20"/>
              </w:rPr>
            </w:pPr>
            <w:r w:rsidRPr="00E07D29">
              <w:rPr>
                <w:sz w:val="20"/>
                <w:szCs w:val="20"/>
              </w:rPr>
              <w:t xml:space="preserve">Подготовка топографического материала в  </w:t>
            </w:r>
            <w:proofErr w:type="gramStart"/>
            <w:r w:rsidRPr="00E07D29">
              <w:rPr>
                <w:sz w:val="20"/>
                <w:szCs w:val="20"/>
              </w:rPr>
              <w:t>электронном</w:t>
            </w:r>
            <w:proofErr w:type="gramEnd"/>
            <w:r w:rsidRPr="00E07D29">
              <w:rPr>
                <w:sz w:val="20"/>
                <w:szCs w:val="20"/>
              </w:rPr>
              <w:t xml:space="preserve"> виде-растровая основа за 1дм2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559,00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E07D29">
            <w:pPr>
              <w:rPr>
                <w:sz w:val="20"/>
                <w:szCs w:val="20"/>
              </w:rPr>
            </w:pPr>
            <w:r w:rsidRPr="00E07D29">
              <w:rPr>
                <w:sz w:val="20"/>
                <w:szCs w:val="20"/>
              </w:rPr>
              <w:t>Картографическое вычерчивание топографических планов и карт за 1 дм</w:t>
            </w:r>
            <w:proofErr w:type="gramStart"/>
            <w:r w:rsidRPr="00E07D29">
              <w:rPr>
                <w:sz w:val="20"/>
                <w:szCs w:val="20"/>
              </w:rPr>
              <w:t>2</w:t>
            </w:r>
            <w:proofErr w:type="gramEnd"/>
            <w:r w:rsidRPr="00E07D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199,00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E0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7D29">
              <w:rPr>
                <w:sz w:val="20"/>
                <w:szCs w:val="20"/>
              </w:rPr>
              <w:t>канирование листа формата А</w:t>
            </w:r>
            <w:proofErr w:type="gramStart"/>
            <w:r w:rsidRPr="00E07D29">
              <w:rPr>
                <w:sz w:val="20"/>
                <w:szCs w:val="20"/>
              </w:rPr>
              <w:t>0</w:t>
            </w:r>
            <w:proofErr w:type="gramEnd"/>
            <w:r w:rsidRPr="00E07D29">
              <w:rPr>
                <w:sz w:val="20"/>
                <w:szCs w:val="20"/>
              </w:rPr>
              <w:t xml:space="preserve"> за 1л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414,00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E0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7D29">
              <w:rPr>
                <w:sz w:val="20"/>
                <w:szCs w:val="20"/>
              </w:rPr>
              <w:t>канирование листа формата А3 за 1л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69,00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E0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07D29">
              <w:rPr>
                <w:sz w:val="20"/>
                <w:szCs w:val="20"/>
              </w:rPr>
              <w:t>канирование листа формата А</w:t>
            </w:r>
            <w:proofErr w:type="gramStart"/>
            <w:r w:rsidRPr="00E07D29">
              <w:rPr>
                <w:sz w:val="20"/>
                <w:szCs w:val="20"/>
              </w:rPr>
              <w:t>4</w:t>
            </w:r>
            <w:proofErr w:type="gramEnd"/>
            <w:r w:rsidRPr="00E07D29">
              <w:rPr>
                <w:sz w:val="20"/>
                <w:szCs w:val="20"/>
              </w:rPr>
              <w:t xml:space="preserve"> за 1л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 w:rsidP="00E0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07D29">
              <w:rPr>
                <w:sz w:val="20"/>
                <w:szCs w:val="20"/>
              </w:rPr>
              <w:t xml:space="preserve">ланово-высотная привязка при исполнительной съемке за 1точку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667,00</w:t>
            </w:r>
          </w:p>
        </w:tc>
      </w:tr>
      <w:tr w:rsidR="00E07D29" w:rsidRPr="00E07D29" w:rsidTr="006F12ED">
        <w:trPr>
          <w:trHeight w:val="3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29" w:rsidRPr="00E07D29" w:rsidRDefault="00E07D29" w:rsidP="00E07D29">
            <w:pPr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Выдача схемы границ 15 точек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D29" w:rsidRPr="00E07D29" w:rsidRDefault="00E07D29">
            <w:pPr>
              <w:jc w:val="center"/>
              <w:rPr>
                <w:color w:val="000000"/>
                <w:sz w:val="20"/>
                <w:szCs w:val="20"/>
              </w:rPr>
            </w:pPr>
            <w:r w:rsidRPr="00E07D29">
              <w:rPr>
                <w:color w:val="000000"/>
                <w:sz w:val="20"/>
                <w:szCs w:val="20"/>
              </w:rPr>
              <w:t>4 926,00</w:t>
            </w:r>
          </w:p>
        </w:tc>
      </w:tr>
    </w:tbl>
    <w:p w:rsidR="000D3869" w:rsidRPr="00447C5F" w:rsidRDefault="000D3869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 xml:space="preserve">оплата производится в течение </w:t>
      </w:r>
      <w:r w:rsidR="000732FA">
        <w:rPr>
          <w:rFonts w:ascii="Arial" w:hAnsi="Arial" w:cs="Arial"/>
          <w:sz w:val="20"/>
          <w:szCs w:val="20"/>
        </w:rPr>
        <w:t xml:space="preserve">7 рабочих дней с момента </w:t>
      </w:r>
      <w:r w:rsidR="00E478F5">
        <w:rPr>
          <w:rFonts w:ascii="Arial" w:hAnsi="Arial" w:cs="Arial"/>
          <w:sz w:val="20"/>
          <w:szCs w:val="20"/>
        </w:rPr>
        <w:t xml:space="preserve">оказания услуг и подписания актов выполненных работ, </w:t>
      </w:r>
      <w:r w:rsidR="00320291" w:rsidRPr="00447C5F">
        <w:rPr>
          <w:rFonts w:ascii="Arial" w:hAnsi="Arial" w:cs="Arial"/>
          <w:sz w:val="20"/>
          <w:szCs w:val="20"/>
        </w:rPr>
        <w:t xml:space="preserve">путем перечисления денежных средств на расчётный счёт </w:t>
      </w:r>
      <w:r w:rsidR="00C57102">
        <w:rPr>
          <w:rFonts w:ascii="Arial" w:hAnsi="Arial" w:cs="Arial"/>
          <w:sz w:val="20"/>
          <w:szCs w:val="20"/>
        </w:rPr>
        <w:t>исполнителя</w:t>
      </w:r>
      <w:r w:rsidR="00320291" w:rsidRPr="00447C5F">
        <w:rPr>
          <w:rFonts w:ascii="Arial" w:hAnsi="Arial" w:cs="Arial"/>
          <w:sz w:val="20"/>
          <w:szCs w:val="20"/>
        </w:rPr>
        <w:t>.</w:t>
      </w:r>
      <w:bookmarkEnd w:id="13"/>
      <w:bookmarkEnd w:id="14"/>
    </w:p>
    <w:p w:rsidR="005079DA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79DA">
        <w:rPr>
          <w:rFonts w:ascii="Arial" w:hAnsi="Arial" w:cs="Arial"/>
          <w:sz w:val="20"/>
          <w:szCs w:val="20"/>
        </w:rPr>
        <w:t xml:space="preserve">Срок </w:t>
      </w:r>
      <w:r w:rsidR="00FB20B9">
        <w:rPr>
          <w:rFonts w:ascii="Arial" w:hAnsi="Arial" w:cs="Arial"/>
          <w:sz w:val="20"/>
          <w:szCs w:val="20"/>
        </w:rPr>
        <w:t>оказания услуг – с момента заключения договора по 31.12.2023г.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</w:t>
      </w:r>
      <w:r w:rsidR="00494D62">
        <w:rPr>
          <w:rFonts w:ascii="Arial" w:hAnsi="Arial" w:cs="Arial"/>
          <w:sz w:val="20"/>
          <w:szCs w:val="20"/>
        </w:rPr>
        <w:t>оказания услуг</w:t>
      </w:r>
      <w:r w:rsidRPr="00447C5F">
        <w:rPr>
          <w:rFonts w:ascii="Arial" w:hAnsi="Arial" w:cs="Arial"/>
          <w:sz w:val="20"/>
          <w:szCs w:val="20"/>
        </w:rPr>
        <w:t xml:space="preserve">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4D62">
        <w:rPr>
          <w:rFonts w:ascii="Arial" w:hAnsi="Arial" w:cs="Arial"/>
          <w:sz w:val="20"/>
          <w:szCs w:val="20"/>
        </w:rPr>
        <w:t>г</w:t>
      </w:r>
      <w:proofErr w:type="gramEnd"/>
      <w:r w:rsidR="00494D62">
        <w:rPr>
          <w:rFonts w:ascii="Arial" w:hAnsi="Arial" w:cs="Arial"/>
          <w:sz w:val="20"/>
          <w:szCs w:val="20"/>
        </w:rPr>
        <w:t>. Пенза</w:t>
      </w:r>
      <w:r w:rsidR="000D3869">
        <w:rPr>
          <w:rFonts w:ascii="Arial" w:hAnsi="Arial" w:cs="Arial"/>
          <w:sz w:val="20"/>
          <w:szCs w:val="20"/>
        </w:rPr>
        <w:t>, ул. Стрельбищенская 13</w:t>
      </w:r>
      <w:r w:rsidR="00494D62">
        <w:rPr>
          <w:rFonts w:ascii="Arial" w:hAnsi="Arial" w:cs="Arial"/>
          <w:sz w:val="20"/>
          <w:szCs w:val="20"/>
        </w:rPr>
        <w:t>.</w:t>
      </w:r>
    </w:p>
    <w:p w:rsidR="0036464E" w:rsidRPr="00447C5F" w:rsidRDefault="0036464E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</w:t>
      </w:r>
      <w:r w:rsidR="00B76C81">
        <w:rPr>
          <w:rFonts w:ascii="Arial" w:hAnsi="Arial" w:cs="Arial"/>
          <w:sz w:val="20"/>
          <w:szCs w:val="20"/>
        </w:rPr>
        <w:t xml:space="preserve"> не является торгами (конкурсом, </w:t>
      </w:r>
      <w:r w:rsidRPr="00447C5F">
        <w:rPr>
          <w:rFonts w:ascii="Arial" w:hAnsi="Arial" w:cs="Arial"/>
          <w:sz w:val="20"/>
          <w:szCs w:val="20"/>
        </w:rPr>
        <w:t>аукционом</w:t>
      </w:r>
      <w:r w:rsidR="00B76C81">
        <w:rPr>
          <w:rFonts w:ascii="Arial" w:hAnsi="Arial" w:cs="Arial"/>
          <w:sz w:val="20"/>
          <w:szCs w:val="20"/>
        </w:rPr>
        <w:t>, запросом предложений, или запросом котировок</w:t>
      </w:r>
      <w:r w:rsidRPr="00447C5F">
        <w:rPr>
          <w:rFonts w:ascii="Arial" w:hAnsi="Arial" w:cs="Arial"/>
          <w:sz w:val="20"/>
          <w:szCs w:val="20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693B84">
      <w:pPr>
        <w:pStyle w:val="2"/>
        <w:widowControl w:val="0"/>
        <w:numPr>
          <w:ilvl w:val="1"/>
          <w:numId w:val="44"/>
        </w:numPr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 xml:space="preserve">      Обжалование</w:t>
      </w:r>
      <w:bookmarkEnd w:id="21"/>
    </w:p>
    <w:p w:rsidR="00DE5D54" w:rsidRPr="00447C5F" w:rsidRDefault="00E76D01" w:rsidP="00E76D01">
      <w:pPr>
        <w:pStyle w:val="af3"/>
        <w:keepNext/>
        <w:keepLines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76D0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.3.1. </w:t>
      </w:r>
      <w:r w:rsidR="00DE5D54"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693B84">
      <w:pPr>
        <w:pStyle w:val="af3"/>
        <w:keepNext/>
        <w:keepLines/>
        <w:widowControl w:val="0"/>
        <w:numPr>
          <w:ilvl w:val="2"/>
          <w:numId w:val="45"/>
        </w:numPr>
        <w:shd w:val="clear" w:color="auto" w:fill="FFFFFF"/>
        <w:tabs>
          <w:tab w:val="left" w:pos="0"/>
          <w:tab w:val="left" w:pos="284"/>
        </w:tabs>
        <w:spacing w:line="240" w:lineRule="auto"/>
        <w:ind w:left="0" w:hanging="11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</w:t>
      </w:r>
      <w:r w:rsidR="00E76D01">
        <w:rPr>
          <w:rFonts w:ascii="Arial" w:hAnsi="Arial" w:cs="Arial"/>
          <w:sz w:val="20"/>
          <w:szCs w:val="20"/>
        </w:rPr>
        <w:t>порядке, предусмотренном п.1.3.1</w:t>
      </w:r>
      <w:r w:rsidRPr="00447C5F">
        <w:rPr>
          <w:rFonts w:ascii="Arial" w:hAnsi="Arial" w:cs="Arial"/>
          <w:sz w:val="20"/>
          <w:szCs w:val="20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E76D01">
      <w:pPr>
        <w:pStyle w:val="af3"/>
        <w:keepNext/>
        <w:keepLines/>
        <w:widowControl w:val="0"/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813B8D" w:rsidRPr="00813B8D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</w:t>
      </w:r>
      <w:proofErr w:type="gramStart"/>
      <w:r w:rsidRPr="00447C5F">
        <w:rPr>
          <w:rFonts w:ascii="Arial" w:hAnsi="Arial" w:cs="Arial"/>
          <w:sz w:val="20"/>
          <w:szCs w:val="20"/>
        </w:rPr>
        <w:t>представляют собой риск для Участника и может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28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3C0085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3C0085" w:rsidRPr="00447C5F">
        <w:rPr>
          <w:rFonts w:ascii="Arial" w:hAnsi="Arial" w:cs="Arial"/>
          <w:sz w:val="20"/>
          <w:szCs w:val="20"/>
        </w:rPr>
      </w:r>
      <w:r w:rsidR="003C0085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3C0085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3C0085" w:rsidRPr="00447C5F">
        <w:rPr>
          <w:rFonts w:ascii="Arial" w:hAnsi="Arial" w:cs="Arial"/>
          <w:sz w:val="20"/>
          <w:szCs w:val="20"/>
        </w:rPr>
      </w:r>
      <w:r w:rsidR="003C0085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3C0085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3C0085" w:rsidRPr="00447C5F">
        <w:rPr>
          <w:rFonts w:ascii="Arial" w:hAnsi="Arial" w:cs="Arial"/>
          <w:sz w:val="20"/>
          <w:szCs w:val="20"/>
        </w:rPr>
      </w:r>
      <w:r w:rsidR="003C0085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3C0085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3C0085" w:rsidRPr="00447C5F">
        <w:rPr>
          <w:rFonts w:ascii="Arial" w:hAnsi="Arial" w:cs="Arial"/>
          <w:sz w:val="20"/>
          <w:szCs w:val="20"/>
        </w:rPr>
      </w:r>
      <w:r w:rsidR="003C0085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6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7"/>
      <w:bookmarkEnd w:id="38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3C0085">
        <w:fldChar w:fldCharType="begin"/>
      </w:r>
      <w:r w:rsidR="003C0085">
        <w:instrText xml:space="preserve"> REF _Ref302563524 \n \h  \* MERGEFORMAT </w:instrText>
      </w:r>
      <w:r w:rsidR="003C0085">
        <w:fldChar w:fldCharType="separate"/>
      </w:r>
      <w:r w:rsidR="00813B8D" w:rsidRPr="00813B8D">
        <w:rPr>
          <w:rFonts w:ascii="Arial" w:hAnsi="Arial" w:cs="Arial"/>
          <w:sz w:val="20"/>
          <w:szCs w:val="20"/>
        </w:rPr>
        <w:t>1.1.1</w:t>
      </w:r>
      <w:r w:rsidR="003C0085"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3C0085">
        <w:fldChar w:fldCharType="begin"/>
      </w:r>
      <w:r w:rsidR="003C0085">
        <w:instrText xml:space="preserve"> REF _Ref191386407 \r \h  \* MERGEFORMAT </w:instrText>
      </w:r>
      <w:r w:rsidR="003C0085">
        <w:fldChar w:fldCharType="separate"/>
      </w:r>
      <w:r w:rsidR="00813B8D" w:rsidRPr="00813B8D">
        <w:rPr>
          <w:rFonts w:ascii="Arial" w:hAnsi="Arial" w:cs="Arial"/>
          <w:sz w:val="20"/>
          <w:szCs w:val="20"/>
        </w:rPr>
        <w:t>3.3.8</w:t>
      </w:r>
      <w:r w:rsidR="003C0085">
        <w:fldChar w:fldCharType="end"/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447C5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693B8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693B8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51" w:name="_Ref306008743"/>
      <w:bookmarkStart w:id="52" w:name="_Toc343613534"/>
      <w:r w:rsidRPr="00447C5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5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4B3B4C" w:rsidRPr="00B22557" w:rsidRDefault="00DE5D54" w:rsidP="00693B8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22557">
        <w:rPr>
          <w:rFonts w:ascii="Arial" w:hAnsi="Arial" w:cs="Arial"/>
          <w:sz w:val="20"/>
          <w:szCs w:val="20"/>
        </w:rPr>
        <w:t>Начальная (максима</w:t>
      </w:r>
      <w:r w:rsidR="005D2E7D" w:rsidRPr="00B22557">
        <w:rPr>
          <w:rFonts w:ascii="Arial" w:hAnsi="Arial" w:cs="Arial"/>
          <w:sz w:val="20"/>
          <w:szCs w:val="20"/>
        </w:rPr>
        <w:t xml:space="preserve">льная) цена Договора </w:t>
      </w:r>
      <w:r w:rsidRPr="00B22557">
        <w:rPr>
          <w:rFonts w:ascii="Arial" w:hAnsi="Arial" w:cs="Arial"/>
          <w:sz w:val="20"/>
          <w:szCs w:val="20"/>
        </w:rPr>
        <w:t xml:space="preserve"> –</w:t>
      </w:r>
      <w:r w:rsidR="00AF59F2" w:rsidRPr="00B22557">
        <w:rPr>
          <w:rFonts w:ascii="Arial" w:hAnsi="Arial" w:cs="Arial"/>
          <w:sz w:val="20"/>
          <w:szCs w:val="20"/>
        </w:rPr>
        <w:t xml:space="preserve"> </w:t>
      </w:r>
      <w:r w:rsidR="00B22557" w:rsidRPr="00B22557">
        <w:rPr>
          <w:rFonts w:ascii="Arial" w:hAnsi="Arial" w:cs="Arial"/>
          <w:b/>
          <w:sz w:val="20"/>
          <w:szCs w:val="20"/>
        </w:rPr>
        <w:t xml:space="preserve">8 000 000,00 </w:t>
      </w:r>
      <w:r w:rsidR="005D2E7D" w:rsidRPr="00B22557">
        <w:rPr>
          <w:rFonts w:ascii="Arial" w:hAnsi="Arial" w:cs="Arial"/>
          <w:sz w:val="20"/>
          <w:szCs w:val="20"/>
        </w:rPr>
        <w:t xml:space="preserve">руб. </w:t>
      </w:r>
      <w:r w:rsidR="00B22557">
        <w:rPr>
          <w:rFonts w:ascii="Arial" w:hAnsi="Arial" w:cs="Arial"/>
          <w:sz w:val="20"/>
          <w:szCs w:val="20"/>
        </w:rPr>
        <w:t xml:space="preserve">без </w:t>
      </w:r>
      <w:r w:rsidR="005D2E7D" w:rsidRPr="00B22557">
        <w:rPr>
          <w:rFonts w:ascii="Arial" w:hAnsi="Arial" w:cs="Arial"/>
          <w:sz w:val="20"/>
          <w:szCs w:val="20"/>
        </w:rPr>
        <w:t xml:space="preserve"> НДС</w:t>
      </w:r>
      <w:r w:rsidR="00B22557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B3B4C" w:rsidRPr="00B22557">
        <w:rPr>
          <w:rFonts w:ascii="Arial" w:hAnsi="Arial" w:cs="Arial"/>
          <w:sz w:val="20"/>
          <w:szCs w:val="20"/>
        </w:rPr>
        <w:t>Начальная (максимальная) цена договора (цена лота) может быть указана Заказчиком в виде сведений о начальной (максимальной) цене договора (цена лота),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максимальное значение цены договора.</w:t>
      </w:r>
      <w:proofErr w:type="gramEnd"/>
      <w:r w:rsidR="004B3B4C" w:rsidRPr="00B22557">
        <w:rPr>
          <w:rFonts w:ascii="Arial" w:hAnsi="Arial" w:cs="Arial"/>
          <w:sz w:val="20"/>
          <w:szCs w:val="20"/>
        </w:rPr>
        <w:t xml:space="preserve"> В случае если по результатам закупки в соответствии с условиями документации о закупке может быть заключено несколько договоров, в том числе с несколькими заказчиками, начальная максимальная цена договора (цена лота) может включать в себя указание начальных максимальных цен отдельных договоров.</w:t>
      </w:r>
    </w:p>
    <w:p w:rsidR="005D2E7D" w:rsidRDefault="005D2E7D" w:rsidP="00693B8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561294">
        <w:rPr>
          <w:rFonts w:ascii="Arial" w:hAnsi="Arial" w:cs="Arial"/>
          <w:sz w:val="20"/>
          <w:szCs w:val="20"/>
        </w:rPr>
        <w:t>без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</w:t>
      </w:r>
      <w:r w:rsidR="00494D62">
        <w:rPr>
          <w:rFonts w:ascii="Arial" w:hAnsi="Arial" w:cs="Arial"/>
          <w:sz w:val="20"/>
          <w:szCs w:val="20"/>
        </w:rPr>
        <w:t>овых предложений</w:t>
      </w:r>
      <w:r w:rsidRPr="00447C5F">
        <w:rPr>
          <w:rFonts w:ascii="Arial" w:hAnsi="Arial" w:cs="Arial"/>
          <w:sz w:val="20"/>
          <w:szCs w:val="20"/>
        </w:rPr>
        <w:t xml:space="preserve"> будет осуществ</w:t>
      </w:r>
      <w:r w:rsidR="00114FE9" w:rsidRPr="00447C5F">
        <w:rPr>
          <w:rFonts w:ascii="Arial" w:hAnsi="Arial" w:cs="Arial"/>
          <w:sz w:val="20"/>
          <w:szCs w:val="20"/>
        </w:rPr>
        <w:t xml:space="preserve">лять </w:t>
      </w:r>
      <w:r w:rsidR="00494D62">
        <w:rPr>
          <w:rFonts w:ascii="Arial" w:hAnsi="Arial" w:cs="Arial"/>
          <w:sz w:val="20"/>
          <w:szCs w:val="20"/>
        </w:rPr>
        <w:t>оценку заявок</w:t>
      </w:r>
      <w:r w:rsidR="00114FE9" w:rsidRPr="00447C5F">
        <w:rPr>
          <w:rFonts w:ascii="Arial" w:hAnsi="Arial" w:cs="Arial"/>
          <w:sz w:val="20"/>
          <w:szCs w:val="20"/>
        </w:rPr>
        <w:t xml:space="preserve">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693B8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93090116"/>
      <w:bookmarkStart w:id="62" w:name="_Ref191386482"/>
      <w:bookmarkEnd w:id="60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1"/>
      <w:r w:rsidRPr="00447C5F">
        <w:rPr>
          <w:rFonts w:ascii="Arial" w:hAnsi="Arial" w:cs="Arial"/>
          <w:sz w:val="20"/>
          <w:szCs w:val="20"/>
        </w:rPr>
        <w:t>:</w:t>
      </w:r>
      <w:bookmarkEnd w:id="62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3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3"/>
      <w:proofErr w:type="gramEnd"/>
    </w:p>
    <w:p w:rsidR="00DE5D54" w:rsidRPr="00447C5F" w:rsidRDefault="00DE5D54" w:rsidP="00693B8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4" w:name="_Ref303669127"/>
      <w:r w:rsidRPr="00447C5F">
        <w:rPr>
          <w:rFonts w:ascii="Arial" w:hAnsi="Arial" w:cs="Arial"/>
          <w:sz w:val="20"/>
          <w:szCs w:val="20"/>
        </w:rPr>
        <w:lastRenderedPageBreak/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5" w:name="_Ref303669441"/>
      <w:bookmarkEnd w:id="64"/>
      <w:r w:rsidRPr="00447C5F">
        <w:rPr>
          <w:rFonts w:ascii="Arial" w:hAnsi="Arial" w:cs="Arial"/>
          <w:sz w:val="20"/>
          <w:szCs w:val="20"/>
        </w:rPr>
        <w:t>:</w:t>
      </w:r>
      <w:bookmarkEnd w:id="65"/>
    </w:p>
    <w:p w:rsidR="000851E9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</w:t>
      </w:r>
      <w:r w:rsidR="00B76C81">
        <w:rPr>
          <w:rFonts w:ascii="Arial" w:hAnsi="Arial" w:cs="Arial"/>
        </w:rPr>
        <w:t>зводственные, трудовые ресурсы;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6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6"/>
    </w:p>
    <w:p w:rsidR="000851E9" w:rsidRPr="00447C5F" w:rsidRDefault="000851E9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693B84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693B84">
      <w:pPr>
        <w:widowControl w:val="0"/>
        <w:numPr>
          <w:ilvl w:val="0"/>
          <w:numId w:val="4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693B84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693B84">
      <w:pPr>
        <w:widowControl w:val="0"/>
        <w:numPr>
          <w:ilvl w:val="0"/>
          <w:numId w:val="4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7" w:name="_Ref303668916"/>
      <w:r w:rsidRPr="00447C5F">
        <w:rPr>
          <w:rFonts w:ascii="Arial" w:hAnsi="Arial" w:cs="Arial"/>
          <w:bCs/>
          <w:sz w:val="20"/>
          <w:szCs w:val="20"/>
        </w:rPr>
        <w:lastRenderedPageBreak/>
        <w:t>3.3.8.4 Документы, подтверждающие квалификацию Участника запроса цен:</w:t>
      </w:r>
    </w:p>
    <w:bookmarkEnd w:id="67"/>
    <w:p w:rsidR="000851E9" w:rsidRPr="00447C5F" w:rsidRDefault="000851E9" w:rsidP="00693B84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Default="000851E9" w:rsidP="00693B84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693B84">
      <w:pPr>
        <w:widowControl w:val="0"/>
        <w:numPr>
          <w:ilvl w:val="0"/>
          <w:numId w:val="4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693B84">
      <w:pPr>
        <w:widowControl w:val="0"/>
        <w:numPr>
          <w:ilvl w:val="0"/>
          <w:numId w:val="4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8" w:name="_Ref306114966"/>
      <w:bookmarkStart w:id="69" w:name="_Toc343613541"/>
      <w:r w:rsidRPr="00447C5F">
        <w:rPr>
          <w:rFonts w:ascii="Arial" w:hAnsi="Arial" w:cs="Arial"/>
          <w:color w:val="auto"/>
          <w:sz w:val="20"/>
          <w:szCs w:val="20"/>
        </w:rPr>
        <w:t>Разъяснение Документации по запросу цен</w:t>
      </w:r>
      <w:bookmarkEnd w:id="68"/>
      <w:bookmarkEnd w:id="69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693B8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561294">
        <w:rPr>
          <w:rFonts w:ascii="Arial" w:hAnsi="Arial" w:cs="Arial"/>
          <w:sz w:val="20"/>
          <w:szCs w:val="20"/>
        </w:rPr>
        <w:t>–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561294">
        <w:rPr>
          <w:rFonts w:ascii="Arial" w:hAnsi="Arial" w:cs="Arial"/>
          <w:b/>
          <w:sz w:val="20"/>
          <w:szCs w:val="20"/>
        </w:rPr>
        <w:t>с момента размещения в ЕИС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D65AF4">
        <w:rPr>
          <w:rFonts w:ascii="Arial" w:hAnsi="Arial" w:cs="Arial"/>
          <w:b/>
          <w:sz w:val="20"/>
          <w:szCs w:val="20"/>
        </w:rPr>
        <w:t>22</w:t>
      </w:r>
      <w:r w:rsidR="005079DA">
        <w:rPr>
          <w:rFonts w:ascii="Arial" w:hAnsi="Arial" w:cs="Arial"/>
          <w:b/>
          <w:sz w:val="20"/>
          <w:szCs w:val="20"/>
        </w:rPr>
        <w:t>.0</w:t>
      </w:r>
      <w:r w:rsidR="008571D5">
        <w:rPr>
          <w:rFonts w:ascii="Arial" w:hAnsi="Arial" w:cs="Arial"/>
          <w:b/>
          <w:sz w:val="20"/>
          <w:szCs w:val="20"/>
        </w:rPr>
        <w:t>2</w:t>
      </w:r>
      <w:r w:rsidR="00561294">
        <w:rPr>
          <w:rFonts w:ascii="Arial" w:hAnsi="Arial" w:cs="Arial"/>
          <w:b/>
          <w:sz w:val="20"/>
          <w:szCs w:val="20"/>
        </w:rPr>
        <w:t>.2023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0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0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1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1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2" w:name="_Ref191386249"/>
      <w:bookmarkStart w:id="73" w:name="_Ref305973214"/>
      <w:bookmarkStart w:id="74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5" w:name="_Ref56229451"/>
      <w:bookmarkEnd w:id="72"/>
      <w:bookmarkEnd w:id="73"/>
      <w:bookmarkEnd w:id="7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6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6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D65AF4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B22557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.02.2023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D65AF4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B22557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.0</w:t>
      </w:r>
      <w:r w:rsidR="00A35A16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5079DA">
        <w:rPr>
          <w:rFonts w:ascii="Arial" w:hAnsi="Arial" w:cs="Arial"/>
          <w:b/>
          <w:i/>
          <w:sz w:val="20"/>
          <w:szCs w:val="20"/>
          <w:u w:val="single"/>
        </w:rPr>
        <w:t>.2023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года.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5"/>
    <w:p w:rsidR="00F018E1" w:rsidRPr="00447C5F" w:rsidRDefault="00DE5D54" w:rsidP="00693B8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5079DA">
        <w:rPr>
          <w:rFonts w:ascii="Arial" w:hAnsi="Arial" w:cs="Arial"/>
          <w:sz w:val="20"/>
          <w:szCs w:val="20"/>
        </w:rPr>
        <w:t xml:space="preserve"> 82В, кабинет №106.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693B84">
      <w:pPr>
        <w:pStyle w:val="2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7" w:name="_Ref303683883"/>
      <w:bookmarkStart w:id="78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7"/>
      <w:bookmarkEnd w:id="78"/>
    </w:p>
    <w:p w:rsidR="00DE5D54" w:rsidRPr="00447C5F" w:rsidRDefault="00DE5D54" w:rsidP="00693B8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9" w:name="_Ref305973250"/>
      <w:bookmarkStart w:id="80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9"/>
      <w:bookmarkEnd w:id="80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1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1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2" w:name="_Ref93089454"/>
      <w:bookmarkStart w:id="83" w:name="_Toc343613551"/>
      <w:bookmarkStart w:id="84" w:name="_Ref303250967"/>
      <w:bookmarkStart w:id="85" w:name="_Toc305697378"/>
      <w:bookmarkStart w:id="86" w:name="_Toc343613554"/>
      <w:bookmarkStart w:id="87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2"/>
      <w:bookmarkEnd w:id="83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</w:t>
      </w:r>
      <w:r w:rsidR="008571D5">
        <w:rPr>
          <w:rFonts w:ascii="Arial" w:hAnsi="Arial" w:cs="Arial"/>
          <w:sz w:val="20"/>
          <w:szCs w:val="20"/>
        </w:rPr>
        <w:t xml:space="preserve"> документации (правоспособность</w:t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8571D5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соответствие предлагаемых услуг </w:t>
      </w:r>
      <w:r w:rsidR="00DE5D54" w:rsidRPr="00447C5F">
        <w:rPr>
          <w:rFonts w:ascii="Arial" w:hAnsi="Arial" w:cs="Arial"/>
          <w:sz w:val="20"/>
          <w:szCs w:val="20"/>
        </w:rPr>
        <w:t>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8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</w:t>
      </w:r>
      <w:r w:rsidR="008571D5">
        <w:rPr>
          <w:rFonts w:ascii="Arial" w:hAnsi="Arial" w:cs="Arial"/>
          <w:sz w:val="20"/>
          <w:szCs w:val="20"/>
        </w:rPr>
        <w:t>ых услуг</w:t>
      </w:r>
      <w:r w:rsidRPr="00447C5F">
        <w:rPr>
          <w:rFonts w:ascii="Arial" w:hAnsi="Arial" w:cs="Arial"/>
          <w:sz w:val="20"/>
          <w:szCs w:val="20"/>
        </w:rPr>
        <w:t>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693B8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9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88"/>
      <w:bookmarkEnd w:id="89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</w:t>
      </w:r>
      <w:r w:rsidR="008571D5">
        <w:rPr>
          <w:rFonts w:ascii="Arial" w:hAnsi="Arial" w:cs="Arial"/>
          <w:sz w:val="20"/>
          <w:szCs w:val="20"/>
        </w:rPr>
        <w:t>точные или искаженные сведении.</w:t>
      </w:r>
    </w:p>
    <w:p w:rsidR="00DE5D54" w:rsidRPr="00447C5F" w:rsidRDefault="00DE5D54" w:rsidP="00693B8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693B84">
      <w:pPr>
        <w:pStyle w:val="3"/>
        <w:widowControl w:val="0"/>
        <w:numPr>
          <w:ilvl w:val="2"/>
          <w:numId w:val="29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0" w:name="_Ref306138385"/>
      <w:bookmarkStart w:id="91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0"/>
      <w:bookmarkEnd w:id="91"/>
    </w:p>
    <w:p w:rsidR="00DE5D54" w:rsidRPr="00447C5F" w:rsidRDefault="00DE5D54" w:rsidP="00693B8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</w:t>
      </w:r>
      <w:proofErr w:type="gramStart"/>
      <w:r w:rsidRPr="00447C5F">
        <w:rPr>
          <w:rFonts w:ascii="Arial" w:hAnsi="Arial" w:cs="Arial"/>
          <w:sz w:val="20"/>
          <w:szCs w:val="20"/>
        </w:rPr>
        <w:t>а</w:t>
      </w:r>
      <w:r w:rsidR="006F12ED">
        <w:rPr>
          <w:rFonts w:ascii="Arial" w:hAnsi="Arial" w:cs="Arial"/>
          <w:sz w:val="20"/>
          <w:szCs w:val="20"/>
        </w:rPr>
        <w:t>(</w:t>
      </w:r>
      <w:proofErr w:type="gramEnd"/>
      <w:r w:rsidR="006F12ED">
        <w:rPr>
          <w:rFonts w:ascii="Arial" w:hAnsi="Arial" w:cs="Arial"/>
          <w:sz w:val="20"/>
          <w:szCs w:val="20"/>
        </w:rPr>
        <w:t>сумма цен за единицу)</w:t>
      </w:r>
      <w:r w:rsidRPr="00447C5F">
        <w:rPr>
          <w:rFonts w:ascii="Arial" w:hAnsi="Arial" w:cs="Arial"/>
          <w:sz w:val="20"/>
          <w:szCs w:val="20"/>
        </w:rPr>
        <w:t xml:space="preserve"> предложения</w:t>
      </w:r>
      <w:r w:rsidR="008571D5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при условии соответствия самого предложения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закупка признана несостоявшейся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ранжировке присваивается Предложению,  поступившему ранее других. </w:t>
      </w:r>
    </w:p>
    <w:p w:rsidR="00DE5D54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8B0254" w:rsidRDefault="008B0254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3.6.3.5. </w:t>
      </w:r>
      <w:r w:rsidRPr="008B0254">
        <w:rPr>
          <w:rFonts w:ascii="Arial" w:hAnsi="Arial" w:cs="Arial"/>
          <w:sz w:val="20"/>
          <w:szCs w:val="20"/>
        </w:rPr>
        <w:t xml:space="preserve">Договор по результатам закупки заключается на условиях, которые предусмотрены проектом договора, документацией о закупке, извещением о закупке и заявкой победителя такой закупки, с которым заключается договор. 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693B8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4"/>
      <w:bookmarkEnd w:id="85"/>
      <w:bookmarkEnd w:id="86"/>
    </w:p>
    <w:bookmarkEnd w:id="87"/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2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2"/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693B8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3" w:name="_Ref303681924"/>
      <w:bookmarkStart w:id="94" w:name="_Ref303683914"/>
      <w:bookmarkStart w:id="95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3"/>
      <w:bookmarkEnd w:id="94"/>
      <w:bookmarkEnd w:id="95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</w:t>
      </w:r>
      <w:r w:rsidR="003C4CFD">
        <w:rPr>
          <w:rFonts w:ascii="Arial" w:hAnsi="Arial" w:cs="Arial"/>
          <w:sz w:val="20"/>
          <w:szCs w:val="20"/>
        </w:rPr>
        <w:t xml:space="preserve"> (Заявок)</w:t>
      </w:r>
      <w:r w:rsidRPr="00447C5F">
        <w:rPr>
          <w:rFonts w:ascii="Arial" w:hAnsi="Arial" w:cs="Arial"/>
          <w:sz w:val="20"/>
          <w:szCs w:val="20"/>
        </w:rPr>
        <w:t xml:space="preserve"> запроса цен, либо по завершению данной процедуры Запроса цен без определения Участника</w:t>
      </w:r>
      <w:r w:rsidR="003C4CFD">
        <w:rPr>
          <w:rFonts w:ascii="Arial" w:hAnsi="Arial" w:cs="Arial"/>
          <w:sz w:val="20"/>
          <w:szCs w:val="20"/>
        </w:rPr>
        <w:t xml:space="preserve"> (Участников)</w:t>
      </w:r>
      <w:r w:rsidRPr="00447C5F">
        <w:rPr>
          <w:rFonts w:ascii="Arial" w:hAnsi="Arial" w:cs="Arial"/>
          <w:sz w:val="20"/>
          <w:szCs w:val="20"/>
        </w:rPr>
        <w:t>, чь</w:t>
      </w:r>
      <w:proofErr w:type="gramStart"/>
      <w:r w:rsidRPr="00447C5F">
        <w:rPr>
          <w:rFonts w:ascii="Arial" w:hAnsi="Arial" w:cs="Arial"/>
          <w:sz w:val="20"/>
          <w:szCs w:val="20"/>
        </w:rPr>
        <w:t>я</w:t>
      </w:r>
      <w:r w:rsidR="003C4CFD">
        <w:rPr>
          <w:rFonts w:ascii="Arial" w:hAnsi="Arial" w:cs="Arial"/>
          <w:sz w:val="20"/>
          <w:szCs w:val="20"/>
        </w:rPr>
        <w:t>(</w:t>
      </w:r>
      <w:proofErr w:type="gramEnd"/>
      <w:r w:rsidR="003C4CFD">
        <w:rPr>
          <w:rFonts w:ascii="Arial" w:hAnsi="Arial" w:cs="Arial"/>
          <w:sz w:val="20"/>
          <w:szCs w:val="20"/>
        </w:rPr>
        <w:t>и)</w:t>
      </w:r>
      <w:r w:rsidRPr="00447C5F">
        <w:rPr>
          <w:rFonts w:ascii="Arial" w:hAnsi="Arial" w:cs="Arial"/>
          <w:sz w:val="20"/>
          <w:szCs w:val="20"/>
        </w:rPr>
        <w:t xml:space="preserve"> Заявка</w:t>
      </w:r>
      <w:r w:rsidR="003C4CFD">
        <w:rPr>
          <w:rFonts w:ascii="Arial" w:hAnsi="Arial" w:cs="Arial"/>
          <w:sz w:val="20"/>
          <w:szCs w:val="20"/>
        </w:rPr>
        <w:t>(и)</w:t>
      </w:r>
      <w:r w:rsidRPr="00447C5F">
        <w:rPr>
          <w:rFonts w:ascii="Arial" w:hAnsi="Arial" w:cs="Arial"/>
          <w:sz w:val="20"/>
          <w:szCs w:val="20"/>
        </w:rPr>
        <w:t xml:space="preserve"> признана</w:t>
      </w:r>
      <w:r w:rsidR="003C4CFD">
        <w:rPr>
          <w:rFonts w:ascii="Arial" w:hAnsi="Arial" w:cs="Arial"/>
          <w:sz w:val="20"/>
          <w:szCs w:val="20"/>
        </w:rPr>
        <w:t>(ы)</w:t>
      </w:r>
      <w:r w:rsidRPr="00447C5F">
        <w:rPr>
          <w:rFonts w:ascii="Arial" w:hAnsi="Arial" w:cs="Arial"/>
          <w:sz w:val="20"/>
          <w:szCs w:val="20"/>
        </w:rPr>
        <w:t xml:space="preserve"> лучшей</w:t>
      </w:r>
      <w:r w:rsidR="003C4CFD">
        <w:rPr>
          <w:rFonts w:ascii="Arial" w:hAnsi="Arial" w:cs="Arial"/>
          <w:sz w:val="20"/>
          <w:szCs w:val="20"/>
        </w:rPr>
        <w:t>(ими)</w:t>
      </w:r>
      <w:r w:rsidRPr="00447C5F">
        <w:rPr>
          <w:rFonts w:ascii="Arial" w:hAnsi="Arial" w:cs="Arial"/>
          <w:sz w:val="20"/>
          <w:szCs w:val="20"/>
        </w:rPr>
        <w:t>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3C4CFD" w:rsidRPr="003C4CFD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3.8.5. </w:t>
      </w:r>
      <w:r w:rsidRPr="003C4CFD">
        <w:rPr>
          <w:rFonts w:ascii="Arial" w:hAnsi="Arial" w:cs="Arial"/>
          <w:sz w:val="20"/>
          <w:szCs w:val="20"/>
        </w:rPr>
        <w:t>В случае намерения Заказчика выбрать по результатам нескольких Победителей для этого может быть предусмотрен один из нескольких механизмов:</w:t>
      </w:r>
    </w:p>
    <w:p w:rsidR="003C4CFD" w:rsidRPr="003C4CFD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4CFD">
        <w:rPr>
          <w:rFonts w:ascii="Arial" w:hAnsi="Arial" w:cs="Arial"/>
          <w:sz w:val="20"/>
          <w:szCs w:val="20"/>
        </w:rPr>
        <w:t>(1) выбор нескольких Победителей с целью распределения по частям общего объёма потребности Заказчика между Победителями;</w:t>
      </w:r>
    </w:p>
    <w:p w:rsidR="003C4CFD" w:rsidRPr="003C4CFD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4CFD">
        <w:rPr>
          <w:rFonts w:ascii="Arial" w:hAnsi="Arial" w:cs="Arial"/>
          <w:sz w:val="20"/>
          <w:szCs w:val="20"/>
        </w:rPr>
        <w:t>(2) выбор нескольких Победителей с целью заключения договора одинакового объёма с каждым из Победителей</w:t>
      </w:r>
      <w:r>
        <w:rPr>
          <w:rFonts w:ascii="Arial" w:hAnsi="Arial" w:cs="Arial"/>
          <w:sz w:val="20"/>
          <w:szCs w:val="20"/>
        </w:rPr>
        <w:t>.</w:t>
      </w:r>
    </w:p>
    <w:p w:rsidR="003C4CFD" w:rsidRPr="003C4CFD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C4CFD">
        <w:rPr>
          <w:rFonts w:ascii="Arial" w:hAnsi="Arial" w:cs="Arial"/>
          <w:sz w:val="20"/>
          <w:szCs w:val="20"/>
        </w:rPr>
        <w:t>В случае проведения закупки с возможностью выбора нескольких Победителей  с целью распределения по частям общего объёма</w:t>
      </w:r>
      <w:r>
        <w:rPr>
          <w:rFonts w:ascii="Arial" w:hAnsi="Arial" w:cs="Arial"/>
          <w:sz w:val="20"/>
          <w:szCs w:val="20"/>
        </w:rPr>
        <w:t xml:space="preserve"> услуг</w:t>
      </w:r>
      <w:r w:rsidRPr="003C4CFD">
        <w:rPr>
          <w:rFonts w:ascii="Arial" w:hAnsi="Arial" w:cs="Arial"/>
          <w:sz w:val="20"/>
          <w:szCs w:val="20"/>
        </w:rPr>
        <w:t xml:space="preserve"> Заказчика  между Победителями</w:t>
      </w:r>
      <w:proofErr w:type="gramStart"/>
      <w:r w:rsidRPr="003C4CF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3C4CFD">
        <w:rPr>
          <w:rFonts w:ascii="Arial" w:hAnsi="Arial" w:cs="Arial"/>
          <w:sz w:val="20"/>
          <w:szCs w:val="20"/>
        </w:rPr>
        <w:t xml:space="preserve"> Участник вправе подать заявку как на весь объём продукции, так и на его часть.</w:t>
      </w:r>
    </w:p>
    <w:p w:rsidR="003C4CFD" w:rsidRPr="00447C5F" w:rsidRDefault="003C4CFD" w:rsidP="003C4CF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C4CFD">
        <w:rPr>
          <w:rFonts w:ascii="Arial" w:hAnsi="Arial" w:cs="Arial"/>
          <w:sz w:val="20"/>
          <w:szCs w:val="20"/>
        </w:rPr>
        <w:t>В случае проведения закупки с возможностью выбора  нескольких  Победителей с целью заключения договора одинакового объёма с каждым из Победителей</w:t>
      </w:r>
      <w:proofErr w:type="gramEnd"/>
      <w:r w:rsidRPr="003C4CFD">
        <w:rPr>
          <w:rFonts w:ascii="Arial" w:hAnsi="Arial" w:cs="Arial"/>
          <w:sz w:val="20"/>
          <w:szCs w:val="20"/>
        </w:rPr>
        <w:t>, у Заказчика отсутствует обязанность произвести полную выборку объёма услуг,-- указанную в договоре, заключаемом с каждым Победителем. Кроме того,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251044"/>
      <w:bookmarkStart w:id="97" w:name="_Toc343613556"/>
      <w:bookmarkStart w:id="98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6"/>
      <w:bookmarkEnd w:id="97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99"/>
    </w:p>
    <w:p w:rsidR="00DE5D54" w:rsidRPr="00447C5F" w:rsidRDefault="00DE5D54" w:rsidP="00693B84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0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0"/>
    </w:p>
    <w:p w:rsidR="00DE5D54" w:rsidRPr="00447C5F" w:rsidRDefault="00DE5D54" w:rsidP="00693B84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693B84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693B84">
      <w:pPr>
        <w:pStyle w:val="33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1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1"/>
    </w:p>
    <w:p w:rsidR="00DE5D54" w:rsidRPr="00447C5F" w:rsidRDefault="00DE5D54" w:rsidP="00693B8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693B8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2" w:name="_Ref303683929"/>
      <w:bookmarkStart w:id="103" w:name="_Toc343613557"/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8"/>
      <w:bookmarkEnd w:id="102"/>
      <w:bookmarkEnd w:id="103"/>
    </w:p>
    <w:p w:rsidR="00B50031" w:rsidRPr="00447C5F" w:rsidRDefault="00B50031" w:rsidP="00693B8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4" w:name="_Ref294695403"/>
      <w:bookmarkStart w:id="105" w:name="_Ref306320315"/>
      <w:bookmarkStart w:id="106" w:name="_Ref305979053"/>
      <w:bookmarkStart w:id="107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4"/>
      <w:bookmarkEnd w:id="105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6"/>
    </w:p>
    <w:p w:rsidR="00DE5D54" w:rsidRPr="00447C5F" w:rsidRDefault="00DE5D54" w:rsidP="00693B8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693B8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8" w:name="_Ref303694483"/>
      <w:bookmarkStart w:id="109" w:name="_Toc305835590"/>
      <w:bookmarkStart w:id="110" w:name="_Ref306140451"/>
      <w:bookmarkEnd w:id="107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8"/>
      <w:bookmarkEnd w:id="109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0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</w:t>
      </w:r>
      <w:r w:rsidR="00725273">
        <w:rPr>
          <w:rFonts w:ascii="Arial" w:hAnsi="Arial" w:cs="Arial"/>
          <w:snapToGrid w:val="0"/>
          <w:sz w:val="20"/>
          <w:szCs w:val="20"/>
        </w:rPr>
        <w:t>в течение 3-х дней</w:t>
      </w:r>
      <w:r w:rsidRPr="00447C5F">
        <w:rPr>
          <w:rFonts w:ascii="Arial" w:hAnsi="Arial" w:cs="Arial"/>
          <w:snapToGrid w:val="0"/>
          <w:sz w:val="20"/>
          <w:szCs w:val="20"/>
        </w:rPr>
        <w:t xml:space="preserve">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1" w:name="_Ref303624463"/>
      <w:bookmarkStart w:id="112" w:name="_Ref303711235"/>
      <w:bookmarkStart w:id="113" w:name="_Ref306031829"/>
      <w:bookmarkStart w:id="114" w:name="_Ref306032801"/>
      <w:bookmarkStart w:id="115" w:name="_Ref306124417"/>
      <w:bookmarkStart w:id="116" w:name="_Toc343613559"/>
      <w:r w:rsidRPr="00572A54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по общим вопросам и реализации услуг                                                                         А.Н. Мешков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2. Заместитель генерального директора</w:t>
      </w:r>
    </w:p>
    <w:p w:rsidR="00FE04DA" w:rsidRPr="00572A54" w:rsidRDefault="00FE04DA" w:rsidP="00FE04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по техническим вопросам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3. Руководитель управления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капитального строительства и  инвестиций                                                                    М.Н. </w:t>
      </w:r>
      <w:proofErr w:type="spellStart"/>
      <w:r w:rsidRPr="00572A54">
        <w:rPr>
          <w:rFonts w:ascii="Arial" w:hAnsi="Arial" w:cs="Arial"/>
          <w:sz w:val="20"/>
          <w:szCs w:val="20"/>
        </w:rPr>
        <w:t>Лагуткин</w:t>
      </w:r>
      <w:proofErr w:type="spellEnd"/>
      <w:r w:rsidRPr="00572A54">
        <w:rPr>
          <w:rFonts w:ascii="Arial" w:hAnsi="Arial" w:cs="Arial"/>
          <w:sz w:val="20"/>
          <w:szCs w:val="20"/>
        </w:rPr>
        <w:t xml:space="preserve">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4. Начальник отдела технического развития                                                                  С.В. </w:t>
      </w:r>
      <w:proofErr w:type="spellStart"/>
      <w:r w:rsidRPr="00572A54">
        <w:rPr>
          <w:rFonts w:ascii="Arial" w:hAnsi="Arial" w:cs="Arial"/>
          <w:sz w:val="20"/>
          <w:szCs w:val="20"/>
        </w:rPr>
        <w:t>Шмырёв</w:t>
      </w:r>
      <w:proofErr w:type="spellEnd"/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С.Е. Елисеева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 xml:space="preserve">                 </w:t>
      </w:r>
    </w:p>
    <w:p w:rsidR="00FE04DA" w:rsidRPr="00572A54" w:rsidRDefault="00FE04DA" w:rsidP="00FE04DA">
      <w:pPr>
        <w:pStyle w:val="4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6. Начальник отдела логистики и конкурсных закупок                                              </w:t>
      </w:r>
      <w:r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 </w:t>
      </w:r>
      <w:r w:rsidRPr="00572A54">
        <w:rPr>
          <w:rFonts w:ascii="Arial" w:hAnsi="Arial" w:cs="Arial"/>
          <w:b w:val="0"/>
          <w:i w:val="0"/>
          <w:color w:val="auto"/>
          <w:sz w:val="20"/>
          <w:szCs w:val="20"/>
        </w:rPr>
        <w:t>А.И. Назаров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E04DA" w:rsidRPr="00572A54" w:rsidRDefault="00FE04DA" w:rsidP="00FE04DA">
      <w:pPr>
        <w:rPr>
          <w:rFonts w:ascii="Arial" w:hAnsi="Arial" w:cs="Arial"/>
          <w:sz w:val="20"/>
          <w:szCs w:val="20"/>
        </w:rPr>
      </w:pPr>
      <w:r w:rsidRPr="00572A54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1"/>
      <w:bookmarkEnd w:id="112"/>
      <w:r w:rsidRPr="00447C5F">
        <w:rPr>
          <w:rFonts w:ascii="Arial" w:hAnsi="Arial" w:cs="Arial"/>
          <w:sz w:val="20"/>
          <w:szCs w:val="20"/>
        </w:rPr>
        <w:t>Заявку</w:t>
      </w:r>
      <w:bookmarkEnd w:id="113"/>
      <w:bookmarkEnd w:id="114"/>
      <w:bookmarkEnd w:id="115"/>
      <w:bookmarkEnd w:id="116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B32413" w:rsidRDefault="00E77053" w:rsidP="00B32413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813B8D">
        <w:rPr>
          <w:rFonts w:ascii="Arial" w:hAnsi="Arial" w:cs="Arial"/>
          <w:b/>
          <w:sz w:val="20"/>
          <w:szCs w:val="20"/>
        </w:rPr>
        <w:t>31</w:t>
      </w:r>
      <w:r w:rsidR="005079DA">
        <w:rPr>
          <w:rFonts w:ascii="Arial" w:hAnsi="Arial" w:cs="Arial"/>
          <w:b/>
          <w:sz w:val="20"/>
          <w:szCs w:val="20"/>
        </w:rPr>
        <w:t xml:space="preserve"> от </w:t>
      </w:r>
      <w:r w:rsidR="006F12ED">
        <w:rPr>
          <w:rFonts w:ascii="Arial" w:hAnsi="Arial" w:cs="Arial"/>
          <w:b/>
          <w:sz w:val="20"/>
          <w:szCs w:val="20"/>
        </w:rPr>
        <w:t>16</w:t>
      </w:r>
      <w:r w:rsidR="005079DA">
        <w:rPr>
          <w:rFonts w:ascii="Arial" w:hAnsi="Arial" w:cs="Arial"/>
          <w:b/>
          <w:sz w:val="20"/>
          <w:szCs w:val="20"/>
        </w:rPr>
        <w:t>.02.2023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4A7B83">
        <w:rPr>
          <w:rFonts w:ascii="Arial" w:hAnsi="Arial" w:cs="Arial"/>
          <w:b/>
          <w:sz w:val="20"/>
          <w:szCs w:val="20"/>
        </w:rPr>
        <w:t>_____руб</w:t>
      </w:r>
      <w:r w:rsidR="00544441">
        <w:rPr>
          <w:rFonts w:ascii="Arial" w:hAnsi="Arial" w:cs="Arial"/>
          <w:b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с учетом НДС</w:t>
      </w:r>
      <w:r w:rsidR="00544441">
        <w:rPr>
          <w:rFonts w:ascii="Arial" w:hAnsi="Arial" w:cs="Arial"/>
          <w:sz w:val="20"/>
          <w:szCs w:val="20"/>
        </w:rPr>
        <w:t>-20%</w:t>
      </w:r>
      <w:r w:rsidR="00B32413">
        <w:rPr>
          <w:rFonts w:ascii="Arial" w:hAnsi="Arial" w:cs="Arial"/>
          <w:sz w:val="20"/>
          <w:szCs w:val="20"/>
        </w:rPr>
        <w:t>, в том числе НДС</w:t>
      </w:r>
      <w:proofErr w:type="gramStart"/>
      <w:r w:rsidR="00B32413">
        <w:rPr>
          <w:rFonts w:ascii="Arial" w:hAnsi="Arial" w:cs="Arial"/>
          <w:sz w:val="20"/>
          <w:szCs w:val="20"/>
        </w:rPr>
        <w:t xml:space="preserve"> – (______)</w:t>
      </w:r>
      <w:proofErr w:type="gramEnd"/>
    </w:p>
    <w:p w:rsidR="00E77053" w:rsidRPr="00447C5F" w:rsidRDefault="00E77053" w:rsidP="00B32413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69"/>
        <w:gridCol w:w="5069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F693A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sz w:val="20"/>
          <w:szCs w:val="20"/>
        </w:rPr>
      </w:pPr>
      <w:r w:rsidRPr="000F693A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0F693A">
        <w:rPr>
          <w:rFonts w:ascii="Arial" w:hAnsi="Arial" w:cs="Arial"/>
          <w:sz w:val="20"/>
          <w:szCs w:val="20"/>
        </w:rPr>
        <w:t>г</w:t>
      </w:r>
      <w:proofErr w:type="gramEnd"/>
      <w:r w:rsidRPr="000F693A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012957" w:rsidRPr="000F693A" w:rsidTr="00352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F693A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F693A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B32413" w:rsidP="00352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012957" w:rsidRPr="000F693A" w:rsidTr="00352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57" w:rsidRPr="000F693A" w:rsidTr="00352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57" w:rsidRPr="000F693A" w:rsidTr="00352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57" w:rsidRPr="000F693A" w:rsidTr="003520D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957" w:rsidRPr="000F693A" w:rsidTr="003520D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F693A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  <w:r w:rsidR="006F12ED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Сумма единичных цен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957" w:rsidRPr="000F693A" w:rsidTr="003520DE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57" w:rsidRPr="000F693A" w:rsidRDefault="00012957" w:rsidP="003520DE">
            <w:pPr>
              <w:pStyle w:val="6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F693A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57" w:rsidRPr="000F693A" w:rsidRDefault="00012957" w:rsidP="003520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957" w:rsidRPr="000F693A" w:rsidTr="003520DE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Продукция новая, ранее не использованная, выпущенная в 20____ году.</w:t>
            </w:r>
          </w:p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520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0F693A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012957" w:rsidRPr="000F693A" w:rsidTr="003520DE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6F12ED">
              <w:rPr>
                <w:rFonts w:ascii="Arial" w:hAnsi="Arial" w:cs="Arial"/>
                <w:sz w:val="20"/>
                <w:szCs w:val="20"/>
              </w:rPr>
              <w:t xml:space="preserve"> (оказания услуг/выполнение работ)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0F693A">
              <w:rPr>
                <w:rFonts w:ascii="Arial" w:hAnsi="Arial" w:cs="Arial"/>
                <w:sz w:val="20"/>
                <w:szCs w:val="20"/>
              </w:rPr>
              <w:t>: ______________________________________</w:t>
            </w:r>
          </w:p>
        </w:tc>
      </w:tr>
      <w:tr w:rsidR="00012957" w:rsidRPr="000F693A" w:rsidTr="003520DE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012957" w:rsidRPr="000F693A" w:rsidRDefault="00012957" w:rsidP="003520DE">
            <w:pPr>
              <w:rPr>
                <w:rFonts w:ascii="Arial" w:hAnsi="Arial" w:cs="Arial"/>
                <w:sz w:val="20"/>
                <w:szCs w:val="20"/>
              </w:rPr>
            </w:pPr>
          </w:p>
          <w:p w:rsidR="00012957" w:rsidRPr="000F693A" w:rsidRDefault="00012957" w:rsidP="003520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012957" w:rsidRPr="000F693A" w:rsidRDefault="00012957" w:rsidP="00012957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69"/>
        <w:gridCol w:w="5069"/>
      </w:tblGrid>
      <w:tr w:rsidR="00012957" w:rsidRPr="000F693A" w:rsidTr="003520D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3520D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12957" w:rsidRPr="000F693A" w:rsidRDefault="00012957" w:rsidP="003520D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3520D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12957" w:rsidRPr="000F693A" w:rsidRDefault="00012957" w:rsidP="003520D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12957" w:rsidRPr="000F693A" w:rsidTr="003520D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3520D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2957" w:rsidRPr="000F693A" w:rsidRDefault="00012957" w:rsidP="003520D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12957" w:rsidRPr="000F693A" w:rsidRDefault="00012957" w:rsidP="003520DE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3A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sz w:val="20"/>
          <w:szCs w:val="20"/>
        </w:rPr>
      </w:pPr>
    </w:p>
    <w:p w:rsidR="00012957" w:rsidRPr="000F693A" w:rsidRDefault="00012957" w:rsidP="00012957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0F693A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0F693A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012957" w:rsidRPr="000F693A" w:rsidRDefault="00012957" w:rsidP="00012957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0F693A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012957" w:rsidRPr="000F693A" w:rsidRDefault="00012957" w:rsidP="00012957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Pr="000F693A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012957" w:rsidRDefault="00012957" w:rsidP="00012957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82794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069"/>
        <w:gridCol w:w="5069"/>
      </w:tblGrid>
      <w:tr w:rsidR="0072527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72527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7B27CB">
              <w:rPr>
                <w:rFonts w:ascii="Arial" w:hAnsi="Arial" w:cs="Arial"/>
                <w:sz w:val="20"/>
                <w:szCs w:val="20"/>
              </w:rPr>
              <w:t>Т</w:t>
            </w:r>
            <w:r w:rsidRPr="00447C5F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693B8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7" w:name="_Ref55336378"/>
      <w:bookmarkStart w:id="118" w:name="_Toc57314676"/>
      <w:bookmarkStart w:id="119" w:name="_Toc69728990"/>
      <w:bookmarkStart w:id="120" w:name="_Toc200423383"/>
      <w:bookmarkStart w:id="121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7"/>
      <w:bookmarkEnd w:id="118"/>
      <w:bookmarkEnd w:id="119"/>
      <w:bookmarkEnd w:id="120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3C0085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3C0085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4" o:spid="_x0000_s1026" style="position:absolute;margin-left:6.75pt;margin-top:191.9pt;width:510.2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">
            <v:textbox>
              <w:txbxContent>
                <w:p w:rsidR="003520DE" w:rsidRPr="002A0EDC" w:rsidRDefault="003520DE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2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2"/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3520DE" w:rsidRDefault="003520DE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3" w:name="_Ref55336389"/>
      <w:bookmarkStart w:id="124" w:name="_Toc57314677"/>
      <w:bookmarkStart w:id="125" w:name="_Toc69728991"/>
      <w:bookmarkStart w:id="126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3"/>
      <w:bookmarkEnd w:id="124"/>
      <w:bookmarkEnd w:id="125"/>
      <w:bookmarkEnd w:id="126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693B84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3C0085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margin-left:-5.05pt;margin-top:298.4pt;width:515.05pt;height:7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">
            <v:textbox>
              <w:txbxContent>
                <w:p w:rsidR="003520DE" w:rsidRPr="002A0EDC" w:rsidRDefault="003520DE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3520DE" w:rsidRDefault="003520DE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7" w:name="_Ref55336398"/>
      <w:bookmarkStart w:id="128" w:name="_Toc57314678"/>
      <w:bookmarkStart w:id="129" w:name="_Toc69728992"/>
      <w:bookmarkStart w:id="130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7"/>
      <w:bookmarkEnd w:id="128"/>
      <w:bookmarkEnd w:id="129"/>
      <w:bookmarkEnd w:id="130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693B8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5035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3C0085" w:rsidP="00447C5F">
      <w:pPr>
        <w:rPr>
          <w:rFonts w:ascii="Arial" w:hAnsi="Arial" w:cs="Arial"/>
          <w:sz w:val="20"/>
          <w:szCs w:val="20"/>
        </w:rPr>
      </w:pPr>
      <w:r w:rsidRPr="003C0085">
        <w:rPr>
          <w:rFonts w:ascii="Arial" w:hAnsi="Arial" w:cs="Arial"/>
          <w:b/>
          <w:noProof/>
          <w:spacing w:val="36"/>
          <w:sz w:val="20"/>
          <w:szCs w:val="20"/>
        </w:rPr>
        <w:pict>
          <v:rect id="Прямоугольник 2" o:spid="_x0000_s1028" style="position:absolute;margin-left:0;margin-top:9.9pt;width:520.5pt;height:8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">
            <v:textbox>
              <w:txbxContent>
                <w:p w:rsidR="003520DE" w:rsidRPr="002A0EDC" w:rsidRDefault="003520DE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3520DE" w:rsidRPr="002A0EDC" w:rsidRDefault="003520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«х»), или же можно ограничиться указанием общего числа специалистов данной категории.</w:t>
                  </w:r>
                </w:p>
                <w:p w:rsidR="003520DE" w:rsidRPr="00301BEC" w:rsidRDefault="003520DE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520DE" w:rsidRDefault="003520DE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1" w:name="_Ref372726841"/>
      <w:bookmarkEnd w:id="121"/>
      <w:r w:rsidRPr="00447C5F">
        <w:rPr>
          <w:rFonts w:ascii="Arial" w:hAnsi="Arial" w:cs="Arial"/>
          <w:b/>
          <w:bCs/>
          <w:sz w:val="20"/>
          <w:szCs w:val="20"/>
        </w:rPr>
        <w:lastRenderedPageBreak/>
        <w:t>Форма №7</w:t>
      </w:r>
    </w:p>
    <w:bookmarkEnd w:id="131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3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3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4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4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5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6.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1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1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2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2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3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5"/>
      <w:bookmarkEnd w:id="143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4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«в-д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5" w:name="_Toc90385119"/>
      <w:bookmarkStart w:id="146" w:name="_Toc98254025"/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5"/>
    <w:bookmarkEnd w:id="146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353"/>
        <w:gridCol w:w="2387"/>
        <w:gridCol w:w="2381"/>
        <w:gridCol w:w="2377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353"/>
        <w:gridCol w:w="2387"/>
        <w:gridCol w:w="2381"/>
        <w:gridCol w:w="2377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693B8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3C0085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C0085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Прямоугольник 1" o:spid="_x0000_s1029" style="position:absolute;left:0;text-align:left;margin-left:1.5pt;margin-top:1.85pt;width:51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">
            <v:textbox>
              <w:txbxContent>
                <w:p w:rsidR="003520DE" w:rsidRPr="003F7D6C" w:rsidRDefault="003520DE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7" w:name="_Toc90385120"/>
                  <w:bookmarkStart w:id="148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7"/>
                  <w:bookmarkEnd w:id="148"/>
                </w:p>
                <w:p w:rsidR="003520DE" w:rsidRPr="003F7D6C" w:rsidRDefault="003520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3520DE" w:rsidRPr="003F7D6C" w:rsidRDefault="003520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3520DE" w:rsidRPr="003F7D6C" w:rsidRDefault="003520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3520DE" w:rsidRPr="003F7D6C" w:rsidRDefault="003520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3520DE" w:rsidRPr="003F7D6C" w:rsidRDefault="003520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3520DE" w:rsidRPr="003F7D6C" w:rsidRDefault="003520DE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3520DE" w:rsidRPr="003F7D6C" w:rsidRDefault="003520DE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3520DE" w:rsidRPr="003F7D6C" w:rsidRDefault="003520DE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3520DE" w:rsidRDefault="003520DE"/>
                <w:p w:rsidR="003520DE" w:rsidRDefault="003520DE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29277D" w:rsidRPr="0029277D" w:rsidRDefault="0029277D" w:rsidP="0029277D">
      <w:pPr>
        <w:rPr>
          <w:sz w:val="22"/>
          <w:szCs w:val="22"/>
        </w:rPr>
      </w:pPr>
      <w:r w:rsidRPr="0029277D">
        <w:rPr>
          <w:sz w:val="22"/>
          <w:szCs w:val="22"/>
        </w:rPr>
        <w:t>г. Пенза</w:t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Pr="0029277D">
        <w:rPr>
          <w:sz w:val="22"/>
          <w:szCs w:val="22"/>
        </w:rPr>
        <w:tab/>
      </w:r>
      <w:r w:rsidR="006F12ED">
        <w:rPr>
          <w:sz w:val="22"/>
          <w:szCs w:val="22"/>
        </w:rPr>
        <w:t>Проект договора</w:t>
      </w:r>
      <w:r w:rsidR="006F12ED">
        <w:rPr>
          <w:sz w:val="22"/>
          <w:szCs w:val="22"/>
        </w:rPr>
        <w:tab/>
      </w:r>
      <w:r w:rsidR="006F12ED">
        <w:rPr>
          <w:sz w:val="22"/>
          <w:szCs w:val="22"/>
        </w:rPr>
        <w:tab/>
      </w:r>
      <w:r w:rsidRPr="0029277D">
        <w:rPr>
          <w:sz w:val="22"/>
          <w:szCs w:val="22"/>
        </w:rPr>
        <w:tab/>
        <w:t xml:space="preserve">                    «____» _________ 2023 г.</w:t>
      </w:r>
    </w:p>
    <w:tbl>
      <w:tblPr>
        <w:tblStyle w:val="TableStyle0"/>
        <w:tblW w:w="10915" w:type="dxa"/>
        <w:tblInd w:w="-636" w:type="dxa"/>
        <w:tblLayout w:type="fixed"/>
        <w:tblLook w:val="04A0"/>
      </w:tblPr>
      <w:tblGrid>
        <w:gridCol w:w="510"/>
        <w:gridCol w:w="4735"/>
        <w:gridCol w:w="5670"/>
      </w:tblGrid>
      <w:tr w:rsidR="006F12ED" w:rsidRPr="006F12ED" w:rsidTr="006F12ED">
        <w:trPr>
          <w:cantSplit/>
        </w:trPr>
        <w:tc>
          <w:tcPr>
            <w:tcW w:w="10915" w:type="dxa"/>
            <w:gridSpan w:val="3"/>
            <w:shd w:val="clear" w:color="auto" w:fill="auto"/>
            <w:vAlign w:val="bottom"/>
          </w:tcPr>
          <w:p w:rsidR="006F12ED" w:rsidRDefault="006F12ED" w:rsidP="006F12ED">
            <w:pPr>
              <w:jc w:val="both"/>
              <w:rPr>
                <w:sz w:val="18"/>
                <w:szCs w:val="18"/>
              </w:rPr>
            </w:pPr>
            <w:r w:rsidRPr="006F12ED">
              <w:rPr>
                <w:sz w:val="18"/>
                <w:szCs w:val="18"/>
              </w:rPr>
              <w:t xml:space="preserve">     </w:t>
            </w:r>
          </w:p>
          <w:p w:rsidR="006F12ED" w:rsidRDefault="006F12ED" w:rsidP="006F12ED">
            <w:pPr>
              <w:jc w:val="both"/>
              <w:rPr>
                <w:sz w:val="18"/>
                <w:szCs w:val="18"/>
              </w:rPr>
            </w:pPr>
          </w:p>
          <w:p w:rsidR="006F12ED" w:rsidRPr="006F12ED" w:rsidRDefault="006F12ED" w:rsidP="006F12ED">
            <w:pPr>
              <w:jc w:val="both"/>
            </w:pPr>
            <w:r>
              <w:rPr>
                <w:sz w:val="18"/>
                <w:szCs w:val="18"/>
              </w:rPr>
              <w:t>_____________________</w:t>
            </w:r>
            <w:r w:rsidRPr="006F12ED">
              <w:rPr>
                <w:sz w:val="18"/>
                <w:szCs w:val="18"/>
              </w:rPr>
              <w:t xml:space="preserve">, именуемое в дальнейшем Исполнитель, в лице </w:t>
            </w:r>
            <w:r>
              <w:rPr>
                <w:sz w:val="18"/>
                <w:szCs w:val="18"/>
              </w:rPr>
              <w:t>_____________________</w:t>
            </w:r>
            <w:r w:rsidRPr="006F12ED">
              <w:rPr>
                <w:sz w:val="18"/>
                <w:szCs w:val="18"/>
              </w:rPr>
              <w:t>, действующег</w:t>
            </w:r>
            <w:proofErr w:type="gramStart"/>
            <w:r w:rsidRPr="006F12ED">
              <w:rPr>
                <w:sz w:val="18"/>
                <w:szCs w:val="18"/>
              </w:rPr>
              <w:t>о(</w:t>
            </w:r>
            <w:proofErr w:type="gramEnd"/>
            <w:r w:rsidRPr="006F12ED">
              <w:rPr>
                <w:sz w:val="18"/>
                <w:szCs w:val="18"/>
              </w:rPr>
              <w:t xml:space="preserve">ей) на основании </w:t>
            </w:r>
            <w:r>
              <w:rPr>
                <w:sz w:val="18"/>
                <w:szCs w:val="18"/>
              </w:rPr>
              <w:t>__________________________</w:t>
            </w:r>
            <w:r w:rsidRPr="006F12ED">
              <w:rPr>
                <w:sz w:val="18"/>
                <w:szCs w:val="18"/>
              </w:rPr>
              <w:t xml:space="preserve"> с одной стороны, и ЗАО "Пензенская Горэлектросеть", именуемое в дальнейшем Заказчик, в лице Руководителя Управления капитального строительства и инвестиций </w:t>
            </w:r>
            <w:proofErr w:type="spellStart"/>
            <w:r w:rsidRPr="006F12ED">
              <w:rPr>
                <w:sz w:val="18"/>
                <w:szCs w:val="18"/>
              </w:rPr>
              <w:t>Лагуткина</w:t>
            </w:r>
            <w:proofErr w:type="spellEnd"/>
            <w:r w:rsidRPr="006F12ED">
              <w:rPr>
                <w:sz w:val="18"/>
                <w:szCs w:val="18"/>
              </w:rPr>
              <w:t xml:space="preserve">   Максима Николаевича, действующего(ей)  на основании Доверенности, с другой стороны, заключили настоящий договор о нижеследующем: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  <w:vAlign w:val="bottom"/>
          </w:tcPr>
          <w:p w:rsidR="006F12ED" w:rsidRPr="006F12ED" w:rsidRDefault="006F12ED" w:rsidP="006F12ED">
            <w:pPr>
              <w:jc w:val="center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center"/>
            </w:pPr>
            <w:r w:rsidRPr="006F12ED">
              <w:rPr>
                <w:b/>
                <w:sz w:val="18"/>
                <w:szCs w:val="18"/>
              </w:rPr>
              <w:t>1.  Предмет договора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1.1.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Default="006F12ED" w:rsidP="006F12ED">
            <w:pPr>
              <w:jc w:val="both"/>
              <w:rPr>
                <w:sz w:val="18"/>
                <w:szCs w:val="18"/>
              </w:rPr>
            </w:pPr>
            <w:r w:rsidRPr="006F12ED">
              <w:rPr>
                <w:sz w:val="18"/>
                <w:szCs w:val="18"/>
              </w:rPr>
              <w:t>Исполнитель обязуется по заданию Заказчика оказать следующие услуги:</w:t>
            </w:r>
          </w:p>
          <w:p w:rsidR="00737323" w:rsidRPr="00737323" w:rsidRDefault="00737323" w:rsidP="007373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</w:t>
            </w:r>
            <w:r w:rsidRPr="00737323">
              <w:rPr>
                <w:sz w:val="18"/>
                <w:szCs w:val="18"/>
              </w:rPr>
              <w:t>ъемка текущих изменений за 1 Га (гектар)</w:t>
            </w:r>
            <w:r>
              <w:rPr>
                <w:sz w:val="18"/>
                <w:szCs w:val="18"/>
              </w:rPr>
              <w:t xml:space="preserve">; </w:t>
            </w:r>
          </w:p>
          <w:p w:rsidR="00737323" w:rsidRPr="00737323" w:rsidRDefault="00737323" w:rsidP="00737323">
            <w:pPr>
              <w:jc w:val="both"/>
              <w:rPr>
                <w:sz w:val="18"/>
                <w:szCs w:val="18"/>
              </w:rPr>
            </w:pPr>
            <w:r w:rsidRPr="007373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- в</w:t>
            </w:r>
            <w:r w:rsidRPr="00737323">
              <w:rPr>
                <w:sz w:val="18"/>
                <w:szCs w:val="18"/>
              </w:rPr>
              <w:t>ыдача направления трассы за 100м</w:t>
            </w:r>
            <w:proofErr w:type="gramStart"/>
            <w:r w:rsidRPr="007373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;</w:t>
            </w:r>
            <w:proofErr w:type="gramEnd"/>
          </w:p>
          <w:p w:rsidR="00737323" w:rsidRPr="00737323" w:rsidRDefault="00737323" w:rsidP="00737323">
            <w:pPr>
              <w:jc w:val="both"/>
              <w:rPr>
                <w:sz w:val="18"/>
                <w:szCs w:val="18"/>
              </w:rPr>
            </w:pPr>
            <w:r w:rsidRPr="007373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- н</w:t>
            </w:r>
            <w:r w:rsidRPr="00737323">
              <w:rPr>
                <w:sz w:val="18"/>
                <w:szCs w:val="18"/>
              </w:rPr>
              <w:t>анесение на плановую основу границ землепользований за 0,1км</w:t>
            </w:r>
            <w:r>
              <w:rPr>
                <w:sz w:val="18"/>
                <w:szCs w:val="18"/>
              </w:rPr>
              <w:t>;</w:t>
            </w:r>
          </w:p>
          <w:p w:rsidR="00737323" w:rsidRPr="00737323" w:rsidRDefault="00737323" w:rsidP="00737323">
            <w:pPr>
              <w:jc w:val="both"/>
              <w:rPr>
                <w:sz w:val="18"/>
                <w:szCs w:val="18"/>
              </w:rPr>
            </w:pPr>
            <w:r w:rsidRPr="007373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- п</w:t>
            </w:r>
            <w:r w:rsidRPr="00737323">
              <w:rPr>
                <w:sz w:val="18"/>
                <w:szCs w:val="18"/>
              </w:rPr>
              <w:t xml:space="preserve">одготовка топографического материала в  </w:t>
            </w:r>
            <w:proofErr w:type="gramStart"/>
            <w:r w:rsidRPr="00737323">
              <w:rPr>
                <w:sz w:val="18"/>
                <w:szCs w:val="18"/>
              </w:rPr>
              <w:t>электронном</w:t>
            </w:r>
            <w:proofErr w:type="gramEnd"/>
            <w:r w:rsidRPr="00737323">
              <w:rPr>
                <w:sz w:val="18"/>
                <w:szCs w:val="18"/>
              </w:rPr>
              <w:t xml:space="preserve"> виде-растровая основа</w:t>
            </w:r>
            <w:r>
              <w:rPr>
                <w:sz w:val="18"/>
                <w:szCs w:val="18"/>
              </w:rPr>
              <w:t>;</w:t>
            </w:r>
          </w:p>
          <w:p w:rsidR="00737323" w:rsidRPr="00737323" w:rsidRDefault="00737323" w:rsidP="00737323">
            <w:pPr>
              <w:jc w:val="both"/>
              <w:rPr>
                <w:sz w:val="18"/>
                <w:szCs w:val="18"/>
              </w:rPr>
            </w:pPr>
            <w:r w:rsidRPr="007373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- к</w:t>
            </w:r>
            <w:r w:rsidRPr="00737323">
              <w:rPr>
                <w:sz w:val="18"/>
                <w:szCs w:val="18"/>
              </w:rPr>
              <w:t>артографическое вычерчивание топографических планов и карт</w:t>
            </w:r>
            <w:r>
              <w:rPr>
                <w:sz w:val="18"/>
                <w:szCs w:val="18"/>
              </w:rPr>
              <w:t>;</w:t>
            </w:r>
          </w:p>
          <w:p w:rsidR="00737323" w:rsidRPr="00737323" w:rsidRDefault="00737323" w:rsidP="00737323">
            <w:pPr>
              <w:jc w:val="both"/>
              <w:rPr>
                <w:sz w:val="18"/>
                <w:szCs w:val="18"/>
              </w:rPr>
            </w:pPr>
            <w:r w:rsidRPr="007373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- </w:t>
            </w:r>
            <w:r w:rsidRPr="00737323">
              <w:rPr>
                <w:sz w:val="18"/>
                <w:szCs w:val="18"/>
              </w:rPr>
              <w:t>сканирование листа формата А</w:t>
            </w:r>
            <w:proofErr w:type="gramStart"/>
            <w:r w:rsidRPr="00737323">
              <w:rPr>
                <w:sz w:val="18"/>
                <w:szCs w:val="18"/>
              </w:rPr>
              <w:t>0</w:t>
            </w:r>
            <w:proofErr w:type="gramEnd"/>
            <w:r w:rsidRPr="00737323">
              <w:rPr>
                <w:sz w:val="18"/>
                <w:szCs w:val="18"/>
              </w:rPr>
              <w:t xml:space="preserve"> за 1л</w:t>
            </w:r>
            <w:r>
              <w:rPr>
                <w:sz w:val="18"/>
                <w:szCs w:val="18"/>
              </w:rPr>
              <w:t>;</w:t>
            </w:r>
          </w:p>
          <w:p w:rsidR="00737323" w:rsidRPr="00737323" w:rsidRDefault="00737323" w:rsidP="00737323">
            <w:pPr>
              <w:jc w:val="both"/>
              <w:rPr>
                <w:sz w:val="18"/>
                <w:szCs w:val="18"/>
              </w:rPr>
            </w:pPr>
            <w:r w:rsidRPr="007373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- </w:t>
            </w:r>
            <w:r w:rsidRPr="00737323">
              <w:rPr>
                <w:sz w:val="18"/>
                <w:szCs w:val="18"/>
              </w:rPr>
              <w:t>сканирование листа формата А3 за 1л</w:t>
            </w:r>
            <w:r>
              <w:rPr>
                <w:sz w:val="18"/>
                <w:szCs w:val="18"/>
              </w:rPr>
              <w:t>;</w:t>
            </w:r>
          </w:p>
          <w:p w:rsidR="00737323" w:rsidRPr="00737323" w:rsidRDefault="00737323" w:rsidP="00737323">
            <w:pPr>
              <w:jc w:val="both"/>
              <w:rPr>
                <w:sz w:val="18"/>
                <w:szCs w:val="18"/>
              </w:rPr>
            </w:pPr>
            <w:r w:rsidRPr="007373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- </w:t>
            </w:r>
            <w:r w:rsidRPr="00737323">
              <w:rPr>
                <w:sz w:val="18"/>
                <w:szCs w:val="18"/>
              </w:rPr>
              <w:t>сканирование листа формата А</w:t>
            </w:r>
            <w:proofErr w:type="gramStart"/>
            <w:r w:rsidRPr="00737323">
              <w:rPr>
                <w:sz w:val="18"/>
                <w:szCs w:val="18"/>
              </w:rPr>
              <w:t>4</w:t>
            </w:r>
            <w:proofErr w:type="gramEnd"/>
            <w:r w:rsidRPr="00737323">
              <w:rPr>
                <w:sz w:val="18"/>
                <w:szCs w:val="18"/>
              </w:rPr>
              <w:t xml:space="preserve"> за 1л</w:t>
            </w:r>
            <w:r>
              <w:rPr>
                <w:sz w:val="18"/>
                <w:szCs w:val="18"/>
              </w:rPr>
              <w:t>;</w:t>
            </w:r>
          </w:p>
          <w:p w:rsidR="00737323" w:rsidRPr="00737323" w:rsidRDefault="00737323" w:rsidP="00737323">
            <w:pPr>
              <w:jc w:val="both"/>
              <w:rPr>
                <w:sz w:val="18"/>
                <w:szCs w:val="18"/>
              </w:rPr>
            </w:pPr>
            <w:r w:rsidRPr="007373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- </w:t>
            </w:r>
            <w:r w:rsidRPr="00737323">
              <w:rPr>
                <w:sz w:val="18"/>
                <w:szCs w:val="18"/>
              </w:rPr>
              <w:t>планово-высотная привязка при исполнительной съемке за 1точку</w:t>
            </w:r>
            <w:r>
              <w:rPr>
                <w:sz w:val="18"/>
                <w:szCs w:val="18"/>
              </w:rPr>
              <w:t>;</w:t>
            </w:r>
          </w:p>
          <w:p w:rsidR="00737323" w:rsidRDefault="00737323" w:rsidP="00737323">
            <w:pPr>
              <w:jc w:val="both"/>
              <w:rPr>
                <w:sz w:val="18"/>
                <w:szCs w:val="18"/>
              </w:rPr>
            </w:pPr>
            <w:r w:rsidRPr="00737323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-в</w:t>
            </w:r>
            <w:r w:rsidRPr="00737323">
              <w:rPr>
                <w:sz w:val="18"/>
                <w:szCs w:val="18"/>
              </w:rPr>
              <w:t>ыдача схемы границ 15 точек</w:t>
            </w:r>
            <w:r>
              <w:rPr>
                <w:sz w:val="18"/>
                <w:szCs w:val="18"/>
              </w:rPr>
              <w:t>.</w:t>
            </w:r>
          </w:p>
          <w:p w:rsidR="00737323" w:rsidRPr="006F12ED" w:rsidRDefault="00737323" w:rsidP="006F12ED">
            <w:pPr>
              <w:jc w:val="both"/>
            </w:pP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2.2.2.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 xml:space="preserve">Подготовить акты о выполнении договора возмездного оказания услуг и  представить  и  на подпись Заказчику с приложением документации, предусмотренной условиями договора. Указанная документация </w:t>
            </w:r>
            <w:proofErr w:type="spellStart"/>
            <w:r w:rsidRPr="006F12ED">
              <w:rPr>
                <w:sz w:val="18"/>
                <w:szCs w:val="18"/>
              </w:rPr>
              <w:t>долджна</w:t>
            </w:r>
            <w:proofErr w:type="spellEnd"/>
            <w:r w:rsidRPr="006F12ED">
              <w:rPr>
                <w:sz w:val="18"/>
                <w:szCs w:val="18"/>
              </w:rPr>
              <w:t xml:space="preserve"> быть  представлена в течение 5 (пяти) дней с момента оказания услуг.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center"/>
            </w:pPr>
            <w:r w:rsidRPr="006F12ED">
              <w:rPr>
                <w:b/>
                <w:sz w:val="18"/>
                <w:szCs w:val="18"/>
              </w:rPr>
              <w:t>3. Порядок расчетов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3.1.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Заказчик обязуется уплатить Исполнителю денежные средства за оказание услуг: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737323" w:rsidP="006F12ED">
            <w:pPr>
              <w:jc w:val="both"/>
            </w:pPr>
            <w:r>
              <w:t>-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737323" w:rsidP="006F12ED">
            <w:pPr>
              <w:jc w:val="both"/>
            </w:pPr>
            <w:r>
              <w:t>-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737323" w:rsidP="006F12ED">
            <w:pPr>
              <w:jc w:val="both"/>
            </w:pPr>
            <w:r>
              <w:t>-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737323" w:rsidP="006F12ED">
            <w:pPr>
              <w:jc w:val="both"/>
            </w:pPr>
            <w:r>
              <w:t>-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C57102" w:rsidP="006F12ED">
            <w:pPr>
              <w:jc w:val="both"/>
            </w:pPr>
            <w:r>
              <w:rPr>
                <w:sz w:val="18"/>
                <w:szCs w:val="18"/>
              </w:rPr>
              <w:t>Общая сумма договора является ориентировочной, но не может превышать 8 000</w:t>
            </w:r>
            <w:r w:rsidR="00B2255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22557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руб. без НДС.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3.2.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C57102" w:rsidP="006F12ED">
            <w:pPr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="006F12ED" w:rsidRPr="006F12ED">
              <w:rPr>
                <w:sz w:val="18"/>
                <w:szCs w:val="18"/>
              </w:rPr>
              <w:t xml:space="preserve">Оплата </w:t>
            </w:r>
            <w:r>
              <w:rPr>
                <w:sz w:val="18"/>
                <w:szCs w:val="18"/>
              </w:rPr>
              <w:t>стоимости услуг перечисленных</w:t>
            </w:r>
            <w:r w:rsidRPr="006F12ED">
              <w:rPr>
                <w:sz w:val="18"/>
                <w:szCs w:val="18"/>
              </w:rPr>
              <w:t xml:space="preserve"> в</w:t>
            </w:r>
            <w:r w:rsidR="006F12ED" w:rsidRPr="006F12ED">
              <w:rPr>
                <w:sz w:val="18"/>
                <w:szCs w:val="18"/>
              </w:rPr>
              <w:t xml:space="preserve"> пункте 3.1.  настоящего договора, производится Заказчиком в  безналичном порядке следующим образом: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3.2.1.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C57102" w:rsidP="006F12ED">
            <w:pPr>
              <w:jc w:val="both"/>
            </w:pPr>
            <w:r>
              <w:rPr>
                <w:sz w:val="18"/>
                <w:szCs w:val="18"/>
              </w:rPr>
              <w:t xml:space="preserve"> </w:t>
            </w:r>
            <w:r w:rsidRPr="00C57102">
              <w:rPr>
                <w:sz w:val="18"/>
                <w:szCs w:val="18"/>
              </w:rPr>
              <w:t xml:space="preserve">оплата производится в течение 7 рабочих дней с момента оказания услуг и подписания актов выполненных работ, путем перечисления денежных средств на расчётный счёт </w:t>
            </w:r>
            <w:r>
              <w:rPr>
                <w:sz w:val="18"/>
                <w:szCs w:val="18"/>
              </w:rPr>
              <w:t>Исполнителя</w:t>
            </w:r>
            <w:r w:rsidRPr="00C57102">
              <w:rPr>
                <w:sz w:val="18"/>
                <w:szCs w:val="18"/>
              </w:rPr>
              <w:t>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center"/>
            </w:pPr>
            <w:r w:rsidRPr="006F12ED">
              <w:rPr>
                <w:b/>
                <w:sz w:val="18"/>
                <w:szCs w:val="18"/>
              </w:rPr>
              <w:t>4. Срок оказания услуг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4.1.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 xml:space="preserve">Услуги, указанные в разделе 1 настоящего договора,  должны быть оказаны Исполнителем  не  позднее 30 дней с момента </w:t>
            </w:r>
            <w:r w:rsidR="00C57102">
              <w:rPr>
                <w:sz w:val="18"/>
                <w:szCs w:val="18"/>
              </w:rPr>
              <w:t>направления заявки Заказчиком и предоставления исходных данных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4.2.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В случае невозможности исполнения, возникшей по вине Заказчика, услуги подлежат оплате в полном объеме.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4.3.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4.4.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4.5.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 xml:space="preserve">Непредставление Исполнителю необходимой документации и/или  информации  сроки, согласованные  сторонами,  является основанием для  одностороннего продления Исполнителем срока оказания услуг на время, в течение которого </w:t>
            </w:r>
            <w:proofErr w:type="spellStart"/>
            <w:r w:rsidRPr="006F12ED">
              <w:rPr>
                <w:sz w:val="18"/>
                <w:szCs w:val="18"/>
              </w:rPr>
              <w:t>вышеуказання</w:t>
            </w:r>
            <w:proofErr w:type="spellEnd"/>
            <w:r w:rsidRPr="006F12ED">
              <w:rPr>
                <w:sz w:val="18"/>
                <w:szCs w:val="18"/>
              </w:rPr>
              <w:t xml:space="preserve"> документация и/или информация не были представлены.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center"/>
            </w:pPr>
            <w:r w:rsidRPr="006F12ED">
              <w:rPr>
                <w:b/>
                <w:sz w:val="18"/>
                <w:szCs w:val="18"/>
              </w:rPr>
              <w:t>5. Ответственность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5.1.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За   невыполнение или   ненадлежащее выполнение  обязательств по настоящему договору Исполнитель и Заказчик несут ответственность в соответствии с действующим законодательством РФ.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5.2.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В случае невозможности исполнения  обязательств  по  настоящему договору, возникшей по вине Заказчика, услуги подлежат оплате Исполнителю в полном объеме.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5.3.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 xml:space="preserve">В  случае  досрочного  расторжения  договора   по   инициативе Заказчика, </w:t>
            </w:r>
            <w:proofErr w:type="gramStart"/>
            <w:r w:rsidRPr="006F12ED">
              <w:rPr>
                <w:sz w:val="18"/>
                <w:szCs w:val="18"/>
              </w:rPr>
              <w:t>последний</w:t>
            </w:r>
            <w:proofErr w:type="gramEnd"/>
            <w:r w:rsidRPr="006F12ED">
              <w:rPr>
                <w:sz w:val="18"/>
                <w:szCs w:val="18"/>
              </w:rPr>
              <w:t xml:space="preserve"> оплачивает Исполнителю фактически понесенные им расходы, а также  возмещает  убытки  в  соответствии   с   законодательством РФ.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5.4.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Исполнитель не несет ответственности за результаты рассмотрения документации Заказчика уполномоченными органами (организациями).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center"/>
            </w:pPr>
            <w:r w:rsidRPr="006F12ED">
              <w:rPr>
                <w:b/>
                <w:sz w:val="18"/>
                <w:szCs w:val="18"/>
              </w:rPr>
              <w:t>6. Порядок разрешения споров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6.1.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Заказчик и Исполнитель примут все меры к разрешению всех споров и/или разногласий, которые могут возникнуть из настоящего договора или  в связи с ним путем переговоров.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6.2.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В случае</w:t>
            </w:r>
            <w:proofErr w:type="gramStart"/>
            <w:r w:rsidRPr="006F12ED">
              <w:rPr>
                <w:sz w:val="18"/>
                <w:szCs w:val="18"/>
              </w:rPr>
              <w:t>,</w:t>
            </w:r>
            <w:proofErr w:type="gramEnd"/>
            <w:r w:rsidRPr="006F12ED">
              <w:rPr>
                <w:sz w:val="18"/>
                <w:szCs w:val="18"/>
              </w:rPr>
              <w:t xml:space="preserve"> если стороны не могут прийти к соглашению, все  споры и/или разногласия, возникшие из настоящего договора или в  связи  с  ним, подлежат разрешению в судебном порядке.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center"/>
            </w:pPr>
            <w:r w:rsidRPr="006F12ED">
              <w:rPr>
                <w:b/>
                <w:sz w:val="18"/>
                <w:szCs w:val="18"/>
              </w:rPr>
              <w:t>7. Заключительные положения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7.1.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Срок действия настоящего договора устанавливается с момента его подписания сторонами и до полного исполнения обязатель</w:t>
            </w:r>
            <w:proofErr w:type="gramStart"/>
            <w:r w:rsidRPr="006F12ED">
              <w:rPr>
                <w:sz w:val="18"/>
                <w:szCs w:val="18"/>
              </w:rPr>
              <w:t>ств ст</w:t>
            </w:r>
            <w:proofErr w:type="gramEnd"/>
            <w:r w:rsidRPr="006F12ED">
              <w:rPr>
                <w:sz w:val="18"/>
                <w:szCs w:val="18"/>
              </w:rPr>
              <w:t>орон по нему.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7.2.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Все изменения и  дополнения  к  настоящему  договору  считаются действительными,  если  они  оформлены  в  письменном  виде  и  подписаны надлежащим образом уполномоченными представителями сторон.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7.3.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Любая договоренность между сторонами, влекущая за  собой  новые обязательства, которые не вытекают из настоящего  договора,  должна  быть письменно подтверждена сторонами и соответствующее дополнение должно быть подписано к настоящему договору.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t>7.4.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r w:rsidRPr="006F12ED">
              <w:rPr>
                <w:sz w:val="18"/>
                <w:szCs w:val="18"/>
              </w:rPr>
              <w:t>Настоящий  договор  подписан  в  двух   экземплярах,   имеющих одинаковую юридическую силу.</w:t>
            </w:r>
          </w:p>
        </w:tc>
      </w:tr>
      <w:tr w:rsidR="006F12ED" w:rsidRPr="006F12ED" w:rsidTr="006F12ED">
        <w:trPr>
          <w:cantSplit/>
        </w:trPr>
        <w:tc>
          <w:tcPr>
            <w:tcW w:w="510" w:type="dxa"/>
            <w:shd w:val="clear" w:color="auto" w:fill="auto"/>
          </w:tcPr>
          <w:p w:rsidR="006F12ED" w:rsidRPr="006F12ED" w:rsidRDefault="006F12ED" w:rsidP="006F12ED">
            <w:pPr>
              <w:jc w:val="right"/>
            </w:pPr>
            <w:r w:rsidRPr="006F12ED">
              <w:rPr>
                <w:sz w:val="18"/>
                <w:szCs w:val="18"/>
              </w:rPr>
              <w:lastRenderedPageBreak/>
              <w:t>7.5.</w:t>
            </w:r>
          </w:p>
        </w:tc>
        <w:tc>
          <w:tcPr>
            <w:tcW w:w="10405" w:type="dxa"/>
            <w:gridSpan w:val="2"/>
            <w:shd w:val="clear" w:color="auto" w:fill="auto"/>
            <w:vAlign w:val="bottom"/>
          </w:tcPr>
          <w:p w:rsidR="006F12ED" w:rsidRPr="006F12ED" w:rsidRDefault="006F12ED" w:rsidP="006F12ED">
            <w:pPr>
              <w:jc w:val="both"/>
            </w:pPr>
            <w:r w:rsidRPr="006F12ED">
              <w:rPr>
                <w:sz w:val="18"/>
                <w:szCs w:val="18"/>
              </w:rPr>
              <w:t>По  вопросам, не урегулированным настоящим договором, стороны руководствуются нормами законодательства Российской Федерации.</w:t>
            </w:r>
          </w:p>
        </w:tc>
      </w:tr>
      <w:tr w:rsidR="006F12ED" w:rsidRPr="006F12ED" w:rsidTr="006F12ED">
        <w:trPr>
          <w:cantSplit/>
        </w:trPr>
        <w:tc>
          <w:tcPr>
            <w:tcW w:w="524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>
            <w:r w:rsidRPr="006F12ED">
              <w:rPr>
                <w:sz w:val="18"/>
                <w:szCs w:val="18"/>
              </w:rPr>
              <w:t>Исполнитель:</w:t>
            </w:r>
          </w:p>
        </w:tc>
        <w:tc>
          <w:tcPr>
            <w:tcW w:w="567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>
            <w:r w:rsidRPr="006F12ED">
              <w:rPr>
                <w:sz w:val="18"/>
                <w:szCs w:val="18"/>
              </w:rPr>
              <w:t>Заказчик:</w:t>
            </w:r>
          </w:p>
        </w:tc>
      </w:tr>
      <w:tr w:rsidR="006F12ED" w:rsidRPr="006F12ED" w:rsidTr="006F12ED">
        <w:trPr>
          <w:cantSplit/>
        </w:trPr>
        <w:tc>
          <w:tcPr>
            <w:tcW w:w="524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/>
        </w:tc>
        <w:tc>
          <w:tcPr>
            <w:tcW w:w="56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>
            <w:r w:rsidRPr="006F12ED">
              <w:rPr>
                <w:b/>
                <w:sz w:val="18"/>
                <w:szCs w:val="18"/>
              </w:rPr>
              <w:t>ЗАО "</w:t>
            </w:r>
            <w:proofErr w:type="gramStart"/>
            <w:r w:rsidRPr="006F12ED">
              <w:rPr>
                <w:b/>
                <w:sz w:val="18"/>
                <w:szCs w:val="18"/>
              </w:rPr>
              <w:t>Пензенская</w:t>
            </w:r>
            <w:proofErr w:type="gramEnd"/>
            <w:r w:rsidRPr="006F12ED">
              <w:rPr>
                <w:b/>
                <w:sz w:val="18"/>
                <w:szCs w:val="18"/>
              </w:rPr>
              <w:t xml:space="preserve"> Горэлектросеть"</w:t>
            </w:r>
          </w:p>
        </w:tc>
      </w:tr>
      <w:tr w:rsidR="006F12ED" w:rsidRPr="006F12ED" w:rsidTr="006F12ED">
        <w:trPr>
          <w:cantSplit/>
        </w:trPr>
        <w:tc>
          <w:tcPr>
            <w:tcW w:w="524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F12ED" w:rsidRPr="006F12ED" w:rsidRDefault="006F12ED" w:rsidP="006F12ED"/>
        </w:tc>
        <w:tc>
          <w:tcPr>
            <w:tcW w:w="56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F12ED" w:rsidRPr="006F12ED" w:rsidRDefault="006F12ED" w:rsidP="006F12ED">
            <w:r w:rsidRPr="006F12ED">
              <w:rPr>
                <w:sz w:val="18"/>
                <w:szCs w:val="18"/>
              </w:rPr>
              <w:t xml:space="preserve">Юридический адрес: Пензенская </w:t>
            </w:r>
            <w:proofErr w:type="spellStart"/>
            <w:proofErr w:type="gramStart"/>
            <w:r w:rsidRPr="006F12ED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6F12ED">
              <w:rPr>
                <w:sz w:val="18"/>
                <w:szCs w:val="18"/>
              </w:rPr>
              <w:t xml:space="preserve">, Пенза г, Московская </w:t>
            </w:r>
            <w:proofErr w:type="spellStart"/>
            <w:r w:rsidRPr="006F12ED">
              <w:rPr>
                <w:sz w:val="18"/>
                <w:szCs w:val="18"/>
              </w:rPr>
              <w:t>ул</w:t>
            </w:r>
            <w:proofErr w:type="spellEnd"/>
            <w:r w:rsidRPr="006F12ED">
              <w:rPr>
                <w:sz w:val="18"/>
                <w:szCs w:val="18"/>
              </w:rPr>
              <w:t>, дом № 82-В</w:t>
            </w:r>
          </w:p>
        </w:tc>
      </w:tr>
      <w:tr w:rsidR="006F12ED" w:rsidRPr="006F12ED" w:rsidTr="006F12ED">
        <w:trPr>
          <w:cantSplit/>
        </w:trPr>
        <w:tc>
          <w:tcPr>
            <w:tcW w:w="524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F12ED" w:rsidRPr="006F12ED" w:rsidRDefault="006F12ED" w:rsidP="006F12ED"/>
        </w:tc>
        <w:tc>
          <w:tcPr>
            <w:tcW w:w="56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F12ED" w:rsidRPr="006F12ED" w:rsidRDefault="006F12ED" w:rsidP="006F12ED">
            <w:r w:rsidRPr="006F12ED">
              <w:rPr>
                <w:sz w:val="18"/>
                <w:szCs w:val="18"/>
              </w:rPr>
              <w:t>Почтовый адрес: тот же</w:t>
            </w:r>
          </w:p>
        </w:tc>
      </w:tr>
      <w:tr w:rsidR="006F12ED" w:rsidRPr="006F12ED" w:rsidTr="006F12ED">
        <w:trPr>
          <w:cantSplit/>
        </w:trPr>
        <w:tc>
          <w:tcPr>
            <w:tcW w:w="524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/>
        </w:tc>
        <w:tc>
          <w:tcPr>
            <w:tcW w:w="56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>
            <w:r w:rsidRPr="006F12ED">
              <w:rPr>
                <w:sz w:val="18"/>
                <w:szCs w:val="18"/>
              </w:rPr>
              <w:t>ИНН/КПП 5836601606/583601001</w:t>
            </w:r>
          </w:p>
        </w:tc>
      </w:tr>
      <w:tr w:rsidR="006F12ED" w:rsidRPr="006F12ED" w:rsidTr="006F12ED">
        <w:trPr>
          <w:cantSplit/>
        </w:trPr>
        <w:tc>
          <w:tcPr>
            <w:tcW w:w="524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F12ED" w:rsidRPr="006F12ED" w:rsidRDefault="006F12ED" w:rsidP="006F12ED"/>
        </w:tc>
        <w:tc>
          <w:tcPr>
            <w:tcW w:w="56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F12ED" w:rsidRPr="006F12ED" w:rsidRDefault="006F12ED" w:rsidP="006F12ED">
            <w:r w:rsidRPr="006F12ED">
              <w:rPr>
                <w:sz w:val="18"/>
                <w:szCs w:val="18"/>
              </w:rPr>
              <w:t xml:space="preserve">Банковские реквизиты: </w:t>
            </w:r>
            <w:proofErr w:type="gramStart"/>
            <w:r w:rsidRPr="006F12ED">
              <w:rPr>
                <w:sz w:val="18"/>
                <w:szCs w:val="18"/>
              </w:rPr>
              <w:t>р</w:t>
            </w:r>
            <w:proofErr w:type="gramEnd"/>
            <w:r w:rsidRPr="006F12ED">
              <w:rPr>
                <w:sz w:val="18"/>
                <w:szCs w:val="18"/>
              </w:rPr>
              <w:t>/с 40702810748000016558 в банке ПЕНЗЕНСКОЕ ОТДЕЛЕНИЕ N8624 ПАО СБЕРБАНК</w:t>
            </w:r>
          </w:p>
        </w:tc>
      </w:tr>
      <w:tr w:rsidR="006F12ED" w:rsidRPr="006F12ED" w:rsidTr="006F12ED">
        <w:trPr>
          <w:cantSplit/>
        </w:trPr>
        <w:tc>
          <w:tcPr>
            <w:tcW w:w="524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F12ED" w:rsidRPr="006F12ED" w:rsidRDefault="006F12ED" w:rsidP="006F12ED"/>
        </w:tc>
        <w:tc>
          <w:tcPr>
            <w:tcW w:w="56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6F12ED" w:rsidRPr="006F12ED" w:rsidRDefault="006F12ED" w:rsidP="006F12ED">
            <w:r w:rsidRPr="006F12ED">
              <w:rPr>
                <w:sz w:val="18"/>
                <w:szCs w:val="18"/>
              </w:rPr>
              <w:t>БИК 045655635 к/с 30101810000000000635</w:t>
            </w:r>
          </w:p>
        </w:tc>
      </w:tr>
      <w:tr w:rsidR="006F12ED" w:rsidRPr="006F12ED" w:rsidTr="006F12ED">
        <w:trPr>
          <w:cantSplit/>
        </w:trPr>
        <w:tc>
          <w:tcPr>
            <w:tcW w:w="524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/>
        </w:tc>
        <w:tc>
          <w:tcPr>
            <w:tcW w:w="5670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>
            <w:r w:rsidRPr="006F12ED">
              <w:rPr>
                <w:sz w:val="18"/>
                <w:szCs w:val="18"/>
              </w:rPr>
              <w:t>тел.: 56-56-20</w:t>
            </w:r>
          </w:p>
        </w:tc>
      </w:tr>
      <w:tr w:rsidR="006F12ED" w:rsidRPr="006F12ED" w:rsidTr="006F12ED">
        <w:trPr>
          <w:cantSplit/>
        </w:trPr>
        <w:tc>
          <w:tcPr>
            <w:tcW w:w="524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/>
        </w:tc>
        <w:tc>
          <w:tcPr>
            <w:tcW w:w="567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F12ED" w:rsidRPr="006F12ED" w:rsidRDefault="006F12ED" w:rsidP="006F12ED">
            <w:pPr>
              <w:wordWrap w:val="0"/>
              <w:rPr>
                <w:sz w:val="18"/>
                <w:szCs w:val="18"/>
              </w:rPr>
            </w:pPr>
            <w:r w:rsidRPr="006F12ED">
              <w:rPr>
                <w:sz w:val="18"/>
                <w:szCs w:val="18"/>
              </w:rPr>
              <w:t xml:space="preserve">Руководитель Управления капитального </w:t>
            </w:r>
          </w:p>
          <w:p w:rsidR="006F12ED" w:rsidRPr="006F12ED" w:rsidRDefault="006F12ED" w:rsidP="006F12ED">
            <w:pPr>
              <w:wordWrap w:val="0"/>
            </w:pPr>
            <w:r w:rsidRPr="006F12ED">
              <w:rPr>
                <w:sz w:val="18"/>
                <w:szCs w:val="18"/>
              </w:rPr>
              <w:t xml:space="preserve">строительства и </w:t>
            </w:r>
            <w:proofErr w:type="spellStart"/>
            <w:r w:rsidRPr="006F12ED">
              <w:rPr>
                <w:sz w:val="18"/>
                <w:szCs w:val="18"/>
              </w:rPr>
              <w:t>инвестиций______________Лагуткин</w:t>
            </w:r>
            <w:proofErr w:type="spellEnd"/>
            <w:r w:rsidRPr="006F12ED">
              <w:rPr>
                <w:sz w:val="18"/>
                <w:szCs w:val="18"/>
              </w:rPr>
              <w:t xml:space="preserve">   М. Н.</w:t>
            </w:r>
          </w:p>
        </w:tc>
      </w:tr>
    </w:tbl>
    <w:p w:rsidR="006F12ED" w:rsidRPr="006F12ED" w:rsidRDefault="006F12ED" w:rsidP="006F12ED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8179E" w:rsidRDefault="0008179E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F0470C" w:rsidRDefault="00F0470C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F0470C" w:rsidRDefault="00F0470C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F0470C" w:rsidRDefault="00F0470C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Pr="00B22557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Pr="00B22557" w:rsidRDefault="00C57102" w:rsidP="00C57102">
      <w:pPr>
        <w:jc w:val="center"/>
        <w:rPr>
          <w:sz w:val="20"/>
          <w:szCs w:val="20"/>
        </w:rPr>
      </w:pPr>
      <w:r w:rsidRPr="00B22557">
        <w:rPr>
          <w:sz w:val="20"/>
          <w:szCs w:val="20"/>
        </w:rPr>
        <w:lastRenderedPageBreak/>
        <w:t xml:space="preserve">  Техническое задание</w:t>
      </w:r>
    </w:p>
    <w:p w:rsidR="00C57102" w:rsidRPr="00B22557" w:rsidRDefault="00C57102" w:rsidP="00C57102">
      <w:pPr>
        <w:jc w:val="center"/>
        <w:rPr>
          <w:sz w:val="20"/>
          <w:szCs w:val="20"/>
        </w:rPr>
      </w:pPr>
    </w:p>
    <w:p w:rsidR="00C57102" w:rsidRPr="00B22557" w:rsidRDefault="00C57102" w:rsidP="00C57102">
      <w:pPr>
        <w:jc w:val="both"/>
        <w:rPr>
          <w:sz w:val="20"/>
          <w:szCs w:val="20"/>
        </w:rPr>
      </w:pPr>
      <w:r w:rsidRPr="00B22557">
        <w:rPr>
          <w:sz w:val="20"/>
          <w:szCs w:val="20"/>
        </w:rPr>
        <w:t xml:space="preserve">       На организацию конкурсных процедур, для выбора организации, осуществляющей услуги по предоставлению (выдаче): направления трасс строительства электрических сетей, съемок текущих изменений с картографическим вычерчиванием топографических планов и карт </w:t>
      </w:r>
      <w:proofErr w:type="gramStart"/>
      <w:r w:rsidRPr="00B22557">
        <w:rPr>
          <w:sz w:val="20"/>
          <w:szCs w:val="20"/>
        </w:rPr>
        <w:t>г</w:t>
      </w:r>
      <w:proofErr w:type="gramEnd"/>
      <w:r w:rsidRPr="00B22557">
        <w:rPr>
          <w:sz w:val="20"/>
          <w:szCs w:val="20"/>
        </w:rPr>
        <w:t>. Пензы, выдаче схем границ, предполагаемых к использованию земельных (или их части) участков.</w:t>
      </w:r>
    </w:p>
    <w:p w:rsidR="00C57102" w:rsidRPr="00B22557" w:rsidRDefault="00C57102" w:rsidP="00C57102">
      <w:pPr>
        <w:jc w:val="center"/>
        <w:rPr>
          <w:sz w:val="20"/>
          <w:szCs w:val="20"/>
        </w:rPr>
      </w:pPr>
      <w:r w:rsidRPr="00B22557">
        <w:rPr>
          <w:sz w:val="20"/>
          <w:szCs w:val="20"/>
        </w:rPr>
        <w:t xml:space="preserve"> </w:t>
      </w:r>
    </w:p>
    <w:p w:rsidR="00C57102" w:rsidRPr="00B22557" w:rsidRDefault="00C57102" w:rsidP="00C57102">
      <w:pPr>
        <w:jc w:val="center"/>
        <w:rPr>
          <w:sz w:val="20"/>
          <w:szCs w:val="20"/>
        </w:rPr>
      </w:pPr>
      <w:r w:rsidRPr="00B22557">
        <w:rPr>
          <w:sz w:val="20"/>
          <w:szCs w:val="20"/>
        </w:rPr>
        <w:t>Выбранная организация должна предоставлять услуги, которые должны соответствовать следующим пунктам: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>СП 249.1325800.2016 утвержденному приказом  Министерства строительства и жилищно-коммунального хозяйства Российской Федерации от 8.07.2016г. №485/ пр. и введен в действие с 1.10.2016г.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 xml:space="preserve">Топографическая съемка должна быть выполнена на бумаге и на цифровом носителе (диск, </w:t>
      </w:r>
      <w:proofErr w:type="spellStart"/>
      <w:r w:rsidRPr="00B22557">
        <w:rPr>
          <w:sz w:val="20"/>
          <w:szCs w:val="20"/>
        </w:rPr>
        <w:t>флеш-накопитель</w:t>
      </w:r>
      <w:proofErr w:type="spellEnd"/>
      <w:r w:rsidRPr="00B22557">
        <w:rPr>
          <w:sz w:val="20"/>
          <w:szCs w:val="20"/>
        </w:rPr>
        <w:t xml:space="preserve">) в масштабе 1:500 с обязательным выездом на местность. 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proofErr w:type="gramStart"/>
      <w:r w:rsidRPr="00B22557">
        <w:rPr>
          <w:sz w:val="20"/>
          <w:szCs w:val="20"/>
        </w:rPr>
        <w:t>На съемке должны быть четко указаны все виды коммуникаций: газ, теплоснабжение, вода, канализация, слив, связь, электрические и другие кабеля, опоры, ЛЭП, насаждения, деревья.</w:t>
      </w:r>
      <w:proofErr w:type="gramEnd"/>
      <w:r w:rsidRPr="00B22557">
        <w:rPr>
          <w:sz w:val="20"/>
          <w:szCs w:val="20"/>
        </w:rPr>
        <w:t xml:space="preserve"> На съемке должны отчетливо быть видны места с асфальтовым покрытием дорог, жилые и нежилые здания, заборы, ограждения, строения и их этажность. Обязательно должна быть указана высота и тип рельефа (лес, овраг, поле и т.д.)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>Топографическая съемка должна быть четко читаема и иметь хорошее разрешение для возможности ее дальнейшего сканирования, переноса в электронный вид и нанесения на нее изменений.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>Ориентировочный объем составляет 100га.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>Актуальность съемки 6 месяцев.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>Направление трассы (ИПЗ) должно быть выполнено на топографической съемке в масштабе 1:1000. Должны быть четко различимы контуры зданий и коммуникаций, а также кадастровые участки.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>При отсутствии муниципального коридора для прохождения трассы, должны быть указаны все кадастровые номера земельных участков, с которыми необходимо произвести согласование.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>Исполнительная съемка выполняется на кальке в масштабе 1:500, с нанесением топографической основы.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 xml:space="preserve">При выдаче исполнительной съемки на КЛ и </w:t>
      </w:r>
      <w:proofErr w:type="gramStart"/>
      <w:r w:rsidRPr="00B22557">
        <w:rPr>
          <w:sz w:val="20"/>
          <w:szCs w:val="20"/>
        </w:rPr>
        <w:t>ВЛ</w:t>
      </w:r>
      <w:proofErr w:type="gramEnd"/>
      <w:r w:rsidRPr="00B22557">
        <w:rPr>
          <w:sz w:val="20"/>
          <w:szCs w:val="20"/>
        </w:rPr>
        <w:t xml:space="preserve"> необходимо указывать координаты наносимых точек в системе координат МСК58.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>Схема границ предполагаемых к использованию земель или части земельного участка на кадастровом плане территории выполняется в масштабе 1:1000.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>Схема границ предполагаемых к использованию земель или части земельного участка на кадастровом плане территории выполняется на топографической основе, на бумаге в цветном виде.</w:t>
      </w:r>
    </w:p>
    <w:p w:rsidR="00C57102" w:rsidRPr="00B22557" w:rsidRDefault="00C57102" w:rsidP="00C57102">
      <w:pPr>
        <w:pStyle w:val="af3"/>
        <w:numPr>
          <w:ilvl w:val="0"/>
          <w:numId w:val="55"/>
        </w:numPr>
        <w:suppressAutoHyphens w:val="0"/>
        <w:spacing w:after="200" w:line="276" w:lineRule="auto"/>
        <w:contextualSpacing/>
        <w:jc w:val="left"/>
        <w:rPr>
          <w:sz w:val="20"/>
          <w:szCs w:val="20"/>
        </w:rPr>
      </w:pPr>
      <w:r w:rsidRPr="00B22557">
        <w:rPr>
          <w:sz w:val="20"/>
          <w:szCs w:val="20"/>
        </w:rPr>
        <w:t xml:space="preserve"> Схема границ предполагаемых к использованию земель или части земельного участка на кадастровом плане территории должна содержать: границы образуемого земельного участка, красные линии, кадастровые участки, а также все точки границ земельного участка (системе координат МСК58), отведенного под строительство новых сетей и площадь отведенного земельного участка.</w:t>
      </w: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C57102" w:rsidRPr="00447C5F" w:rsidRDefault="00C571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sectPr w:rsidR="00C57102" w:rsidRPr="00447C5F" w:rsidSect="00D65AF4">
      <w:headerReference w:type="default" r:id="rId27"/>
      <w:headerReference w:type="first" r:id="rId28"/>
      <w:footerReference w:type="first" r:id="rId29"/>
      <w:pgSz w:w="11906" w:h="16838"/>
      <w:pgMar w:top="540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DE" w:rsidRDefault="003520DE">
      <w:r>
        <w:separator/>
      </w:r>
    </w:p>
  </w:endnote>
  <w:endnote w:type="continuationSeparator" w:id="0">
    <w:p w:rsidR="003520DE" w:rsidRDefault="0035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DE" w:rsidRDefault="003520DE" w:rsidP="007835F3">
    <w:pPr>
      <w:pStyle w:val="a6"/>
      <w:rPr>
        <w:szCs w:val="18"/>
      </w:rPr>
    </w:pPr>
  </w:p>
  <w:p w:rsidR="003520DE" w:rsidRPr="00441775" w:rsidRDefault="003520DE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DE" w:rsidRDefault="003520DE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DE" w:rsidRDefault="003520DE">
      <w:r>
        <w:separator/>
      </w:r>
    </w:p>
  </w:footnote>
  <w:footnote w:type="continuationSeparator" w:id="0">
    <w:p w:rsidR="003520DE" w:rsidRDefault="00352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DE" w:rsidRDefault="003520DE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DE" w:rsidRDefault="003520DE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DE" w:rsidRDefault="003520DE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86A3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4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5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6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10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3CB7E58"/>
    <w:multiLevelType w:val="hybridMultilevel"/>
    <w:tmpl w:val="7BC259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4B4149"/>
    <w:multiLevelType w:val="hybridMultilevel"/>
    <w:tmpl w:val="2DBE3CEC"/>
    <w:lvl w:ilvl="0" w:tplc="24AE6B84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F334C"/>
    <w:multiLevelType w:val="singleLevel"/>
    <w:tmpl w:val="6A163E0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0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C4076E"/>
    <w:multiLevelType w:val="hybridMultilevel"/>
    <w:tmpl w:val="FF68C078"/>
    <w:lvl w:ilvl="0" w:tplc="7FBCD04E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BE7439"/>
    <w:multiLevelType w:val="hybridMultilevel"/>
    <w:tmpl w:val="9558DA98"/>
    <w:lvl w:ilvl="0" w:tplc="2ABCF5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3F862AD"/>
    <w:multiLevelType w:val="multilevel"/>
    <w:tmpl w:val="685C1E2C"/>
    <w:lvl w:ilvl="0">
      <w:start w:val="1"/>
      <w:numFmt w:val="decimal"/>
      <w:lvlText w:val="%1."/>
      <w:lvlJc w:val="left"/>
      <w:pPr>
        <w:ind w:left="36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5" w:hanging="360"/>
      </w:p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</w:lvl>
    <w:lvl w:ilvl="4">
      <w:start w:val="1"/>
      <w:numFmt w:val="decimal"/>
      <w:isLgl/>
      <w:lvlText w:val="%1.%2.%3.%4.%5."/>
      <w:lvlJc w:val="left"/>
      <w:pPr>
        <w:ind w:left="725" w:hanging="720"/>
      </w:pPr>
    </w:lvl>
    <w:lvl w:ilvl="5">
      <w:start w:val="1"/>
      <w:numFmt w:val="decimal"/>
      <w:isLgl/>
      <w:lvlText w:val="%1.%2.%3.%4.%5.%6."/>
      <w:lvlJc w:val="left"/>
      <w:pPr>
        <w:ind w:left="1085" w:hanging="1080"/>
      </w:pPr>
    </w:lvl>
    <w:lvl w:ilvl="6">
      <w:start w:val="1"/>
      <w:numFmt w:val="decimal"/>
      <w:isLgl/>
      <w:lvlText w:val="%1.%2.%3.%4.%5.%6.%7."/>
      <w:lvlJc w:val="left"/>
      <w:pPr>
        <w:ind w:left="1085" w:hanging="1080"/>
      </w:pPr>
    </w:lvl>
    <w:lvl w:ilvl="7">
      <w:start w:val="1"/>
      <w:numFmt w:val="decimal"/>
      <w:isLgl/>
      <w:lvlText w:val="%1.%2.%3.%4.%5.%6.%7.%8."/>
      <w:lvlJc w:val="left"/>
      <w:pPr>
        <w:ind w:left="1085" w:hanging="1080"/>
      </w:pPr>
    </w:lvl>
    <w:lvl w:ilvl="8">
      <w:start w:val="1"/>
      <w:numFmt w:val="decimal"/>
      <w:isLgl/>
      <w:lvlText w:val="%1.%2.%3.%4.%5.%6.%7.%8.%9."/>
      <w:lvlJc w:val="left"/>
      <w:pPr>
        <w:ind w:left="1445" w:hanging="1440"/>
      </w:pPr>
    </w:lvl>
  </w:abstractNum>
  <w:abstractNum w:abstractNumId="3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54905D6C"/>
    <w:multiLevelType w:val="multilevel"/>
    <w:tmpl w:val="63CC0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8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9">
    <w:nsid w:val="5A8979D3"/>
    <w:multiLevelType w:val="multilevel"/>
    <w:tmpl w:val="1FE85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4">
    <w:nsid w:val="66732123"/>
    <w:multiLevelType w:val="hybridMultilevel"/>
    <w:tmpl w:val="0B54F0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6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7">
    <w:nsid w:val="70280DC8"/>
    <w:multiLevelType w:val="multilevel"/>
    <w:tmpl w:val="A29837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5"/>
  </w:num>
  <w:num w:numId="5">
    <w:abstractNumId w:val="3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13"/>
  </w:num>
  <w:num w:numId="9">
    <w:abstractNumId w:val="27"/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50"/>
  </w:num>
  <w:num w:numId="15">
    <w:abstractNumId w:val="32"/>
  </w:num>
  <w:num w:numId="16">
    <w:abstractNumId w:val="51"/>
  </w:num>
  <w:num w:numId="17">
    <w:abstractNumId w:val="44"/>
  </w:num>
  <w:num w:numId="18">
    <w:abstractNumId w:val="41"/>
  </w:num>
  <w:num w:numId="19">
    <w:abstractNumId w:val="30"/>
  </w:num>
  <w:num w:numId="20">
    <w:abstractNumId w:val="52"/>
  </w:num>
  <w:num w:numId="21">
    <w:abstractNumId w:val="28"/>
  </w:num>
  <w:num w:numId="22">
    <w:abstractNumId w:val="29"/>
  </w:num>
  <w:num w:numId="23">
    <w:abstractNumId w:val="56"/>
  </w:num>
  <w:num w:numId="24">
    <w:abstractNumId w:val="40"/>
  </w:num>
  <w:num w:numId="25">
    <w:abstractNumId w:val="39"/>
  </w:num>
  <w:num w:numId="26">
    <w:abstractNumId w:val="19"/>
  </w:num>
  <w:num w:numId="27">
    <w:abstractNumId w:val="16"/>
  </w:num>
  <w:num w:numId="28">
    <w:abstractNumId w:val="58"/>
  </w:num>
  <w:num w:numId="29">
    <w:abstractNumId w:val="14"/>
  </w:num>
  <w:num w:numId="30">
    <w:abstractNumId w:val="55"/>
  </w:num>
  <w:num w:numId="31">
    <w:abstractNumId w:val="47"/>
  </w:num>
  <w:num w:numId="32">
    <w:abstractNumId w:val="38"/>
  </w:num>
  <w:num w:numId="33">
    <w:abstractNumId w:val="43"/>
  </w:num>
  <w:num w:numId="34">
    <w:abstractNumId w:val="53"/>
  </w:num>
  <w:num w:numId="35">
    <w:abstractNumId w:val="17"/>
  </w:num>
  <w:num w:numId="36">
    <w:abstractNumId w:val="36"/>
  </w:num>
  <w:num w:numId="37">
    <w:abstractNumId w:val="33"/>
  </w:num>
  <w:num w:numId="38">
    <w:abstractNumId w:val="18"/>
  </w:num>
  <w:num w:numId="39">
    <w:abstractNumId w:val="22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</w:num>
  <w:num w:numId="45">
    <w:abstractNumId w:val="57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decimal"/>
        <w:lvlText w:val="•"/>
        <w:legacy w:legacy="1" w:legacySpace="0" w:legacyIndent="2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8">
    <w:abstractNumId w:val="54"/>
  </w:num>
  <w:num w:numId="49">
    <w:abstractNumId w:val="20"/>
  </w:num>
  <w:num w:numId="50">
    <w:abstractNumId w:val="25"/>
  </w:num>
  <w:num w:numId="51">
    <w:abstractNumId w:val="49"/>
  </w:num>
  <w:num w:numId="52">
    <w:abstractNumId w:val="34"/>
  </w:num>
  <w:num w:numId="5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1"/>
  </w:num>
  <w:num w:numId="55">
    <w:abstractNumId w:val="35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2957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732FA"/>
    <w:rsid w:val="000807A1"/>
    <w:rsid w:val="0008179E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4761"/>
    <w:rsid w:val="000C58D0"/>
    <w:rsid w:val="000C751B"/>
    <w:rsid w:val="000D31F1"/>
    <w:rsid w:val="000D345B"/>
    <w:rsid w:val="000D3869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38A"/>
    <w:rsid w:val="00180FB2"/>
    <w:rsid w:val="001816F0"/>
    <w:rsid w:val="00195A16"/>
    <w:rsid w:val="001A0CEE"/>
    <w:rsid w:val="001A12DA"/>
    <w:rsid w:val="001A1F92"/>
    <w:rsid w:val="001A365F"/>
    <w:rsid w:val="001A66B3"/>
    <w:rsid w:val="001B1514"/>
    <w:rsid w:val="001C163E"/>
    <w:rsid w:val="001C66F7"/>
    <w:rsid w:val="001C72B6"/>
    <w:rsid w:val="001C788C"/>
    <w:rsid w:val="001D421F"/>
    <w:rsid w:val="001D6559"/>
    <w:rsid w:val="001E1982"/>
    <w:rsid w:val="001F07EE"/>
    <w:rsid w:val="001F4559"/>
    <w:rsid w:val="001F4971"/>
    <w:rsid w:val="00206CD5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309B"/>
    <w:rsid w:val="002545BD"/>
    <w:rsid w:val="0025762B"/>
    <w:rsid w:val="002627C8"/>
    <w:rsid w:val="002634BE"/>
    <w:rsid w:val="002643FD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77D"/>
    <w:rsid w:val="002929A1"/>
    <w:rsid w:val="002936B1"/>
    <w:rsid w:val="00294688"/>
    <w:rsid w:val="00297953"/>
    <w:rsid w:val="002A0EDC"/>
    <w:rsid w:val="002A1604"/>
    <w:rsid w:val="002A1F49"/>
    <w:rsid w:val="002A3FA2"/>
    <w:rsid w:val="002A446C"/>
    <w:rsid w:val="002A7FA3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20DE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C0085"/>
    <w:rsid w:val="003C3892"/>
    <w:rsid w:val="003C3FFA"/>
    <w:rsid w:val="003C4CFD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94D62"/>
    <w:rsid w:val="004A3D00"/>
    <w:rsid w:val="004A6319"/>
    <w:rsid w:val="004A7B83"/>
    <w:rsid w:val="004B152D"/>
    <w:rsid w:val="004B1714"/>
    <w:rsid w:val="004B365F"/>
    <w:rsid w:val="004B3B4C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079DA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44441"/>
    <w:rsid w:val="00551C78"/>
    <w:rsid w:val="00554380"/>
    <w:rsid w:val="005549AF"/>
    <w:rsid w:val="005565B7"/>
    <w:rsid w:val="00561278"/>
    <w:rsid w:val="00561294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B362E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1B9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0399"/>
    <w:rsid w:val="00682837"/>
    <w:rsid w:val="00682C74"/>
    <w:rsid w:val="00685698"/>
    <w:rsid w:val="00686F58"/>
    <w:rsid w:val="00693B84"/>
    <w:rsid w:val="006B2E84"/>
    <w:rsid w:val="006C7F72"/>
    <w:rsid w:val="006D26AE"/>
    <w:rsid w:val="006D3E0A"/>
    <w:rsid w:val="006D48FA"/>
    <w:rsid w:val="006F12ED"/>
    <w:rsid w:val="006F3515"/>
    <w:rsid w:val="006F6925"/>
    <w:rsid w:val="00703050"/>
    <w:rsid w:val="00711439"/>
    <w:rsid w:val="00711EE0"/>
    <w:rsid w:val="00713625"/>
    <w:rsid w:val="00725273"/>
    <w:rsid w:val="007300BD"/>
    <w:rsid w:val="00730681"/>
    <w:rsid w:val="00734297"/>
    <w:rsid w:val="00734460"/>
    <w:rsid w:val="00734CA0"/>
    <w:rsid w:val="00735F72"/>
    <w:rsid w:val="00735FB4"/>
    <w:rsid w:val="00737323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B27CB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3B8D"/>
    <w:rsid w:val="00816D86"/>
    <w:rsid w:val="00817321"/>
    <w:rsid w:val="008245DC"/>
    <w:rsid w:val="008272A5"/>
    <w:rsid w:val="0082794F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570CE"/>
    <w:rsid w:val="008571D5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0254"/>
    <w:rsid w:val="008B1B8D"/>
    <w:rsid w:val="008B68B6"/>
    <w:rsid w:val="008C042A"/>
    <w:rsid w:val="008D59EA"/>
    <w:rsid w:val="008E1CF1"/>
    <w:rsid w:val="008E24C6"/>
    <w:rsid w:val="008E6FC1"/>
    <w:rsid w:val="008F12AD"/>
    <w:rsid w:val="008F2672"/>
    <w:rsid w:val="008F45C8"/>
    <w:rsid w:val="009002E9"/>
    <w:rsid w:val="009012CC"/>
    <w:rsid w:val="009016A9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1EC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3D8A"/>
    <w:rsid w:val="009E6723"/>
    <w:rsid w:val="009E6E14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A16"/>
    <w:rsid w:val="00A35E6B"/>
    <w:rsid w:val="00A40E13"/>
    <w:rsid w:val="00A43098"/>
    <w:rsid w:val="00A4326A"/>
    <w:rsid w:val="00A47967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59F2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57"/>
    <w:rsid w:val="00B2256D"/>
    <w:rsid w:val="00B32413"/>
    <w:rsid w:val="00B3252C"/>
    <w:rsid w:val="00B33A83"/>
    <w:rsid w:val="00B35A4D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6C81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57102"/>
    <w:rsid w:val="00C63DEC"/>
    <w:rsid w:val="00C7124F"/>
    <w:rsid w:val="00C73539"/>
    <w:rsid w:val="00C74FCE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3164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5AF4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07D29"/>
    <w:rsid w:val="00E15572"/>
    <w:rsid w:val="00E168EB"/>
    <w:rsid w:val="00E21C7A"/>
    <w:rsid w:val="00E237BD"/>
    <w:rsid w:val="00E23D11"/>
    <w:rsid w:val="00E25C3B"/>
    <w:rsid w:val="00E26C02"/>
    <w:rsid w:val="00E26D23"/>
    <w:rsid w:val="00E33550"/>
    <w:rsid w:val="00E36C8F"/>
    <w:rsid w:val="00E40D68"/>
    <w:rsid w:val="00E4284E"/>
    <w:rsid w:val="00E42D2E"/>
    <w:rsid w:val="00E43EF5"/>
    <w:rsid w:val="00E45DCF"/>
    <w:rsid w:val="00E478F5"/>
    <w:rsid w:val="00E52839"/>
    <w:rsid w:val="00E53745"/>
    <w:rsid w:val="00E545FD"/>
    <w:rsid w:val="00E5775C"/>
    <w:rsid w:val="00E60227"/>
    <w:rsid w:val="00E61C33"/>
    <w:rsid w:val="00E67FF4"/>
    <w:rsid w:val="00E71A48"/>
    <w:rsid w:val="00E76D01"/>
    <w:rsid w:val="00E76DD1"/>
    <w:rsid w:val="00E77053"/>
    <w:rsid w:val="00E81B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0470C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5F33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0B9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E04D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1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f4">
    <w:name w:val="Normal (Web)"/>
    <w:basedOn w:val="a0"/>
    <w:uiPriority w:val="99"/>
    <w:semiHidden/>
    <w:unhideWhenUsed/>
    <w:locked/>
    <w:rsid w:val="009E6E14"/>
    <w:pPr>
      <w:spacing w:before="100" w:beforeAutospacing="1" w:after="100" w:afterAutospacing="1"/>
    </w:pPr>
  </w:style>
  <w:style w:type="paragraph" w:styleId="aff5">
    <w:name w:val="Subtitle"/>
    <w:basedOn w:val="a0"/>
    <w:link w:val="aff6"/>
    <w:qFormat/>
    <w:rsid w:val="004A7B83"/>
    <w:pPr>
      <w:jc w:val="center"/>
    </w:pPr>
    <w:rPr>
      <w:b/>
      <w:szCs w:val="20"/>
    </w:rPr>
  </w:style>
  <w:style w:type="character" w:customStyle="1" w:styleId="aff6">
    <w:name w:val="Подзаголовок Знак"/>
    <w:basedOn w:val="a1"/>
    <w:link w:val="aff5"/>
    <w:rsid w:val="004A7B83"/>
    <w:rPr>
      <w:b/>
      <w:sz w:val="24"/>
      <w:szCs w:val="20"/>
    </w:rPr>
  </w:style>
  <w:style w:type="paragraph" w:customStyle="1" w:styleId="ConsPlusTitle">
    <w:name w:val="ConsPlusTitle"/>
    <w:rsid w:val="004A7B8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extended-textshort">
    <w:name w:val="extended-text__short"/>
    <w:basedOn w:val="a1"/>
    <w:rsid w:val="0008179E"/>
  </w:style>
  <w:style w:type="table" w:customStyle="1" w:styleId="TableStyle0">
    <w:name w:val="TableStyle0"/>
    <w:rsid w:val="006F12ED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275">
          <w:marLeft w:val="0"/>
          <w:marRight w:val="228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2" w:space="12" w:color="E6E6E6"/>
          </w:divBdr>
          <w:divsChild>
            <w:div w:id="8314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0C138-4AA1-4364-821A-9960AA3E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7959</Words>
  <Characters>58818</Characters>
  <Application>Microsoft Office Word</Application>
  <DocSecurity>0</DocSecurity>
  <Lines>490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2023-02-16T13:31:00Z</dcterms:created>
  <dcterms:modified xsi:type="dcterms:W3CDTF">2023-02-16T13:37:00Z</dcterms:modified>
</cp:coreProperties>
</file>